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楚雄州电子商务和流通业促进中心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  <w:t>预算重点领域财政项目文本公开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14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项目实施成效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Arial" w:cs="Times New Roman"/>
          <w:b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588" w:bottom="1928" w:left="1588" w:header="0" w:footer="1757" w:gutter="0"/>
      <w:cols w:space="720" w:num="1"/>
      <w:docGrid w:type="lines" w:linePitch="3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-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16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-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91F88"/>
    <w:rsid w:val="0B307E3E"/>
    <w:rsid w:val="186E1B4A"/>
    <w:rsid w:val="1CF426FE"/>
    <w:rsid w:val="28F91F88"/>
    <w:rsid w:val="2A7C65AF"/>
    <w:rsid w:val="2D533A87"/>
    <w:rsid w:val="65AD14DB"/>
    <w:rsid w:val="77B76F03"/>
    <w:rsid w:val="FBC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2021-03-18T16:57:00Z</dcterms:created>
  <dc:creator>admin</dc:creator>
  <cp:lastModifiedBy>楚雄州商务局</cp:lastModifiedBy>
  <dcterms:modified xsi:type="dcterms:W3CDTF">2023-03-14T15:58:01Z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9D4B87BFB38C4352912C1B7247B618B5</vt:lpwstr>
  </property>
</Properties>
</file>