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left="0" w:leftChars="0" w:firstLine="0" w:firstLineChars="0"/>
        <w:jc w:val="both"/>
        <w:rPr>
          <w:rFonts w:hint="eastAsia" w:ascii="宋体" w:hAnsi="宋体" w:eastAsia="方正仿宋简体" w:cs="方正仿宋简体"/>
          <w:color w:val="000000"/>
          <w:sz w:val="32"/>
          <w:szCs w:val="32"/>
          <w:lang w:val="en-US" w:eastAsia="zh-CN"/>
        </w:rPr>
      </w:pPr>
      <w:r>
        <w:rPr>
          <w:rFonts w:hint="eastAsia" w:ascii="宋体" w:hAnsi="宋体" w:eastAsia="方正仿宋简体" w:cs="方正仿宋简体"/>
          <w:color w:val="000000"/>
          <w:sz w:val="32"/>
          <w:szCs w:val="32"/>
          <w:lang w:val="en-US" w:eastAsia="zh-CN"/>
        </w:rPr>
        <w:t>附件2：</w:t>
      </w:r>
    </w:p>
    <w:p>
      <w:pPr>
        <w:pStyle w:val="7"/>
        <w:spacing w:line="620" w:lineRule="exact"/>
        <w:rPr>
          <w:rFonts w:hint="default" w:ascii="宋体" w:hAnsi="宋体" w:eastAsia="方正小标宋简体"/>
          <w:color w:val="auto"/>
          <w:lang w:val="en-US" w:eastAsia="zh-CN"/>
        </w:rPr>
      </w:pPr>
      <w:r>
        <w:rPr>
          <w:rFonts w:hint="eastAsia" w:ascii="宋体" w:hAnsi="宋体"/>
          <w:color w:val="auto"/>
        </w:rPr>
        <w:t>楚雄州</w:t>
      </w:r>
      <w:r>
        <w:rPr>
          <w:rFonts w:hint="eastAsia" w:ascii="宋体" w:hAnsi="宋体"/>
          <w:color w:val="auto"/>
          <w:lang w:val="en-US" w:eastAsia="zh-CN"/>
        </w:rPr>
        <w:t>2020年国家</w:t>
      </w:r>
      <w:r>
        <w:rPr>
          <w:rFonts w:hint="eastAsia" w:ascii="宋体" w:hAnsi="宋体"/>
          <w:color w:val="auto"/>
        </w:rPr>
        <w:t>电子商务进农村综合示范项目及资金管理办法</w:t>
      </w:r>
    </w:p>
    <w:p>
      <w:pPr>
        <w:keepNext w:val="0"/>
        <w:keepLines w:val="0"/>
        <w:pageBreakBefore w:val="0"/>
        <w:widowControl w:val="0"/>
        <w:kinsoku/>
        <w:wordWrap/>
        <w:overflowPunct/>
        <w:topLinePunct w:val="0"/>
        <w:autoSpaceDE/>
        <w:autoSpaceDN/>
        <w:bidi w:val="0"/>
        <w:adjustRightInd/>
        <w:snapToGrid/>
        <w:spacing w:line="572" w:lineRule="atLeast"/>
        <w:ind w:left="0"/>
        <w:textAlignment w:val="auto"/>
        <w:rPr>
          <w:rFonts w:ascii="宋体" w:hAnsi="宋体"/>
          <w:color w:val="auto"/>
        </w:rPr>
      </w:pPr>
    </w:p>
    <w:p>
      <w:pPr>
        <w:pStyle w:val="15"/>
        <w:keepNext w:val="0"/>
        <w:keepLines w:val="0"/>
        <w:pageBreakBefore w:val="0"/>
        <w:widowControl w:val="0"/>
        <w:numPr>
          <w:ilvl w:val="0"/>
          <w:numId w:val="1"/>
        </w:numPr>
        <w:kinsoku/>
        <w:wordWrap/>
        <w:overflowPunct/>
        <w:topLinePunct w:val="0"/>
        <w:autoSpaceDE/>
        <w:autoSpaceDN/>
        <w:bidi w:val="0"/>
        <w:adjustRightInd/>
        <w:snapToGrid/>
        <w:spacing w:line="572" w:lineRule="atLeast"/>
        <w:ind w:left="0" w:firstLineChars="0"/>
        <w:jc w:val="center"/>
        <w:textAlignment w:val="auto"/>
        <w:rPr>
          <w:rFonts w:ascii="宋体" w:hAnsi="宋体" w:eastAsia="方正黑体简体"/>
          <w:color w:val="auto"/>
        </w:rPr>
      </w:pPr>
      <w:r>
        <w:rPr>
          <w:rFonts w:hint="eastAsia" w:ascii="宋体" w:hAnsi="宋体" w:eastAsia="方正黑体简体"/>
          <w:color w:val="auto"/>
        </w:rPr>
        <w:t>总则</w:t>
      </w:r>
    </w:p>
    <w:p>
      <w:pPr>
        <w:keepNext w:val="0"/>
        <w:keepLines w:val="0"/>
        <w:pageBreakBefore w:val="0"/>
        <w:widowControl w:val="0"/>
        <w:kinsoku/>
        <w:wordWrap/>
        <w:overflowPunct/>
        <w:topLinePunct w:val="0"/>
        <w:autoSpaceDE/>
        <w:autoSpaceDN/>
        <w:bidi w:val="0"/>
        <w:adjustRightInd/>
        <w:snapToGrid/>
        <w:spacing w:line="572" w:lineRule="atLeast"/>
        <w:ind w:left="0"/>
        <w:textAlignment w:val="auto"/>
        <w:rPr>
          <w:rFonts w:ascii="宋体" w:hAnsi="宋体" w:eastAsia="方正仿宋简体"/>
          <w:color w:val="auto"/>
        </w:rPr>
      </w:pPr>
      <w:r>
        <w:rPr>
          <w:rFonts w:hint="eastAsia" w:ascii="宋体" w:hAnsi="宋体" w:eastAsia="方正黑体简体"/>
          <w:color w:val="auto"/>
        </w:rPr>
        <w:t>第一条</w:t>
      </w:r>
      <w:r>
        <w:rPr>
          <w:rFonts w:ascii="宋体" w:hAnsi="宋体" w:eastAsia="方正黑体简体"/>
          <w:color w:val="auto"/>
        </w:rPr>
        <w:t xml:space="preserve"> </w:t>
      </w:r>
      <w:r>
        <w:rPr>
          <w:rFonts w:hint="eastAsia" w:ascii="宋体" w:hAnsi="宋体" w:eastAsia="方正仿宋简体"/>
          <w:color w:val="auto"/>
        </w:rPr>
        <w:t>为加强和规范</w:t>
      </w:r>
      <w:r>
        <w:rPr>
          <w:rFonts w:hint="eastAsia" w:ascii="宋体" w:hAnsi="宋体" w:eastAsia="方正仿宋简体"/>
          <w:color w:val="auto"/>
          <w:lang w:val="en-US" w:eastAsia="zh-CN"/>
        </w:rPr>
        <w:t>2020年度国家</w:t>
      </w:r>
      <w:r>
        <w:rPr>
          <w:rFonts w:hint="eastAsia" w:ascii="宋体" w:hAnsi="宋体" w:eastAsia="方正仿宋简体"/>
          <w:color w:val="auto"/>
        </w:rPr>
        <w:t>电子商务进农村综合示范项目及专项资金使用管理，充分发挥资金效益，促进全州电子商务产业发展，根据《服务业发展资金管理办法》（</w:t>
      </w:r>
      <w:r>
        <w:rPr>
          <w:rFonts w:ascii="宋体" w:hAnsi="宋体" w:eastAsia="方正仿宋简体"/>
          <w:color w:val="auto"/>
        </w:rPr>
        <w:t>财建</w:t>
      </w:r>
      <w:r>
        <w:rPr>
          <w:rFonts w:hint="eastAsia" w:ascii="宋体" w:hAnsi="宋体" w:eastAsia="方正仿宋简体"/>
          <w:color w:val="auto"/>
        </w:rPr>
        <w:t>〔</w:t>
      </w:r>
      <w:r>
        <w:rPr>
          <w:rFonts w:ascii="宋体" w:hAnsi="宋体" w:eastAsia="方正仿宋简体"/>
          <w:color w:val="auto"/>
        </w:rPr>
        <w:t>2019</w:t>
      </w:r>
      <w:r>
        <w:rPr>
          <w:rFonts w:hint="eastAsia" w:ascii="宋体" w:hAnsi="宋体" w:eastAsia="方正仿宋简体"/>
          <w:color w:val="auto"/>
        </w:rPr>
        <w:t>〕</w:t>
      </w:r>
      <w:r>
        <w:rPr>
          <w:rFonts w:ascii="宋体" w:hAnsi="宋体" w:eastAsia="方正仿宋简体"/>
          <w:color w:val="auto"/>
        </w:rPr>
        <w:t>50号）</w:t>
      </w:r>
      <w:r>
        <w:rPr>
          <w:rFonts w:hint="eastAsia" w:ascii="宋体" w:hAnsi="宋体" w:eastAsia="方正仿宋简体"/>
          <w:color w:val="auto"/>
        </w:rPr>
        <w:t>、《</w:t>
      </w:r>
      <w:r>
        <w:rPr>
          <w:rFonts w:hint="eastAsia" w:ascii="宋体" w:hAnsi="宋体" w:eastAsia="方正仿宋简体" w:cs="Times New Roman"/>
          <w:kern w:val="2"/>
          <w:sz w:val="32"/>
          <w:szCs w:val="32"/>
          <w:lang w:val="en-US" w:eastAsia="zh-CN" w:bidi="ar-SA"/>
        </w:rPr>
        <w:t>财政部办公厅、商务部办公厅、国务院扶贫办综合司关于做好2020年电子商务进农村综合示范工作的通知》（财办建〔2020〕48号）和《云南省商务厅 云南省财政厅 云南省人民政府扶贫开发办公室关于做好2020年电子商务进农村综合示范项目及资金管理有关工作的通知》（云商电〔2020〕27号）</w:t>
      </w:r>
      <w:r>
        <w:rPr>
          <w:rFonts w:hint="eastAsia" w:ascii="宋体" w:hAnsi="宋体" w:eastAsia="方正仿宋简体"/>
          <w:color w:val="auto"/>
        </w:rPr>
        <w:t>相关规定，结合我州实际，制定本办法。</w:t>
      </w:r>
    </w:p>
    <w:p>
      <w:pPr>
        <w:keepNext w:val="0"/>
        <w:keepLines w:val="0"/>
        <w:pageBreakBefore w:val="0"/>
        <w:widowControl w:val="0"/>
        <w:kinsoku/>
        <w:wordWrap/>
        <w:overflowPunct/>
        <w:topLinePunct w:val="0"/>
        <w:autoSpaceDE/>
        <w:autoSpaceDN/>
        <w:bidi w:val="0"/>
        <w:adjustRightInd/>
        <w:snapToGrid/>
        <w:spacing w:line="572" w:lineRule="atLeast"/>
        <w:ind w:left="0"/>
        <w:textAlignment w:val="auto"/>
        <w:rPr>
          <w:rFonts w:ascii="宋体" w:hAnsi="宋体" w:eastAsia="方正仿宋简体"/>
          <w:color w:val="auto"/>
        </w:rPr>
      </w:pPr>
      <w:r>
        <w:rPr>
          <w:rFonts w:hint="eastAsia" w:ascii="宋体" w:hAnsi="宋体" w:eastAsia="方正黑体简体"/>
          <w:color w:val="auto"/>
        </w:rPr>
        <w:t>第二条</w:t>
      </w:r>
      <w:r>
        <w:rPr>
          <w:rFonts w:ascii="宋体" w:hAnsi="宋体" w:eastAsia="方正黑体简体"/>
          <w:color w:val="auto"/>
        </w:rPr>
        <w:t xml:space="preserve"> </w:t>
      </w:r>
      <w:r>
        <w:rPr>
          <w:rFonts w:hint="eastAsia" w:ascii="宋体" w:hAnsi="宋体" w:eastAsia="方正仿宋简体" w:cs="Times New Roman"/>
          <w:kern w:val="2"/>
          <w:sz w:val="32"/>
          <w:szCs w:val="32"/>
          <w:lang w:val="en-US" w:eastAsia="zh-CN" w:bidi="ar-SA"/>
        </w:rPr>
        <w:t>国家电子</w:t>
      </w:r>
      <w:r>
        <w:rPr>
          <w:rFonts w:hint="eastAsia" w:ascii="宋体" w:hAnsi="宋体" w:eastAsia="方正仿宋简体"/>
          <w:color w:val="auto"/>
        </w:rPr>
        <w:t>商务进农村综合示范项目专项资金（以下简称专项资金）是指</w:t>
      </w:r>
      <w:r>
        <w:rPr>
          <w:rFonts w:hint="eastAsia" w:ascii="宋体" w:hAnsi="宋体" w:eastAsia="方正仿宋简体"/>
          <w:color w:val="auto"/>
          <w:lang w:val="en-US" w:eastAsia="zh-CN"/>
        </w:rPr>
        <w:t>中央财政</w:t>
      </w:r>
      <w:r>
        <w:rPr>
          <w:rFonts w:hint="eastAsia" w:ascii="宋体" w:hAnsi="宋体" w:eastAsia="方正仿宋简体"/>
          <w:color w:val="auto"/>
        </w:rPr>
        <w:t>下达专项用于</w:t>
      </w:r>
      <w:r>
        <w:rPr>
          <w:rFonts w:hint="eastAsia" w:ascii="宋体" w:hAnsi="宋体" w:eastAsia="方正仿宋简体"/>
          <w:color w:val="auto"/>
          <w:lang w:val="en-US" w:eastAsia="zh-CN"/>
        </w:rPr>
        <w:t>国家</w:t>
      </w:r>
      <w:r>
        <w:rPr>
          <w:rFonts w:hint="eastAsia" w:ascii="宋体" w:hAnsi="宋体" w:eastAsia="方正仿宋简体"/>
          <w:color w:val="auto"/>
        </w:rPr>
        <w:t>电子商务进农村综合示范工作的资金。</w:t>
      </w:r>
    </w:p>
    <w:p>
      <w:pPr>
        <w:keepNext w:val="0"/>
        <w:keepLines w:val="0"/>
        <w:pageBreakBefore w:val="0"/>
        <w:widowControl w:val="0"/>
        <w:kinsoku/>
        <w:wordWrap/>
        <w:overflowPunct/>
        <w:topLinePunct w:val="0"/>
        <w:autoSpaceDE/>
        <w:autoSpaceDN/>
        <w:bidi w:val="0"/>
        <w:adjustRightInd/>
        <w:snapToGrid/>
        <w:spacing w:line="572" w:lineRule="atLeast"/>
        <w:ind w:left="0"/>
        <w:textAlignment w:val="auto"/>
        <w:rPr>
          <w:rFonts w:ascii="宋体" w:hAnsi="宋体" w:eastAsia="方正仿宋简体"/>
          <w:color w:val="auto"/>
        </w:rPr>
      </w:pPr>
      <w:r>
        <w:rPr>
          <w:rFonts w:hint="eastAsia" w:ascii="宋体" w:hAnsi="宋体" w:eastAsia="方正黑体简体"/>
          <w:color w:val="auto"/>
        </w:rPr>
        <w:t>第三条</w:t>
      </w:r>
      <w:r>
        <w:rPr>
          <w:rFonts w:hint="eastAsia" w:ascii="宋体" w:hAnsi="宋体" w:eastAsia="方正黑体简体"/>
          <w:color w:val="auto"/>
          <w:lang w:val="en-US" w:eastAsia="zh-CN"/>
        </w:rPr>
        <w:t xml:space="preserve"> </w:t>
      </w:r>
      <w:r>
        <w:rPr>
          <w:rFonts w:hint="eastAsia" w:ascii="宋体" w:hAnsi="宋体" w:eastAsia="方正仿宋简体"/>
          <w:color w:val="auto"/>
        </w:rPr>
        <w:t>专项资金由财政部门会同商务部门、扶贫部门共同管理。示范县商务主管部门、财政局、扶贫办是综合示范工作的县级牵头部门，负责示范县项目各项工作的具体落实。</w:t>
      </w:r>
    </w:p>
    <w:p>
      <w:pPr>
        <w:keepNext w:val="0"/>
        <w:keepLines w:val="0"/>
        <w:pageBreakBefore w:val="0"/>
        <w:widowControl w:val="0"/>
        <w:kinsoku/>
        <w:wordWrap/>
        <w:overflowPunct/>
        <w:topLinePunct w:val="0"/>
        <w:autoSpaceDE/>
        <w:autoSpaceDN/>
        <w:bidi w:val="0"/>
        <w:adjustRightInd/>
        <w:snapToGrid/>
        <w:spacing w:line="572" w:lineRule="atLeast"/>
        <w:ind w:left="0"/>
        <w:textAlignment w:val="auto"/>
        <w:rPr>
          <w:rFonts w:ascii="宋体" w:hAnsi="宋体" w:eastAsia="方正仿宋简体"/>
          <w:color w:val="auto"/>
        </w:rPr>
      </w:pPr>
      <w:r>
        <w:rPr>
          <w:rFonts w:hint="eastAsia" w:ascii="宋体" w:hAnsi="宋体" w:eastAsia="方正黑体简体"/>
          <w:color w:val="auto"/>
        </w:rPr>
        <w:t>第五条</w:t>
      </w:r>
      <w:r>
        <w:rPr>
          <w:rFonts w:ascii="宋体" w:hAnsi="宋体" w:eastAsia="方正黑体简体"/>
          <w:color w:val="auto"/>
        </w:rPr>
        <w:t xml:space="preserve"> </w:t>
      </w:r>
      <w:r>
        <w:rPr>
          <w:rFonts w:hint="eastAsia" w:ascii="宋体" w:hAnsi="宋体" w:eastAsia="方正仿宋简体"/>
          <w:color w:val="auto"/>
        </w:rPr>
        <w:t>专项资金管理原则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ascii="宋体" w:hAnsi="宋体" w:eastAsia="方正仿宋简体"/>
          <w:color w:val="auto"/>
        </w:rPr>
      </w:pPr>
      <w:r>
        <w:rPr>
          <w:rFonts w:hint="eastAsia" w:ascii="宋体" w:hAnsi="宋体" w:eastAsia="方正楷体简体"/>
          <w:color w:val="auto"/>
        </w:rPr>
        <w:t>（一）专款专用原则。</w:t>
      </w:r>
      <w:r>
        <w:rPr>
          <w:rFonts w:hint="eastAsia" w:ascii="宋体" w:hAnsi="宋体" w:eastAsia="方正仿宋简体"/>
          <w:color w:val="auto"/>
          <w:lang w:val="en-US" w:eastAsia="zh-CN"/>
        </w:rPr>
        <w:t>专项资金</w:t>
      </w:r>
      <w:r>
        <w:rPr>
          <w:rFonts w:hint="eastAsia" w:ascii="宋体" w:hAnsi="宋体" w:eastAsia="方正仿宋简体"/>
          <w:color w:val="auto"/>
        </w:rPr>
        <w:t>实行</w:t>
      </w:r>
      <w:r>
        <w:rPr>
          <w:rFonts w:hint="eastAsia" w:ascii="宋体" w:hAnsi="宋体" w:eastAsia="方正仿宋简体" w:cs="Times New Roman"/>
          <w:color w:val="auto"/>
        </w:rPr>
        <w:t>专款专用，独立核算。财政资金重点支持农产品进城，兼顾工业品下乡。中央财政资金不得用于网络交易平台、楼堂馆所建设、征地拆迁、购买流量、人员经费等经常性开支、提取工作经费以及其他违反相关规定的支出等。中央财政资金聚焦服务提升，硬件设施坚持实用、节约</w:t>
      </w:r>
      <w:r>
        <w:rPr>
          <w:rFonts w:hint="eastAsia" w:ascii="宋体" w:hAnsi="宋体" w:eastAsia="方正仿宋简体" w:cs="Times New Roman"/>
          <w:color w:val="auto"/>
          <w:lang w:eastAsia="zh-CN"/>
        </w:rPr>
        <w:t>原则</w:t>
      </w:r>
      <w:r>
        <w:rPr>
          <w:rFonts w:hint="eastAsia" w:ascii="宋体" w:hAnsi="宋体" w:eastAsia="方正仿宋简体" w:cs="Times New Roman"/>
          <w:color w:val="auto"/>
        </w:rPr>
        <w:t>，充分利用现有园区厂房、设施设备等资源，不得重复建设。支持电子商务公共服务中心建设的资金比例不得高于15%。除此之外，中央资金的具体支持范围、支持标准和拨付程序由</w:t>
      </w:r>
      <w:r>
        <w:rPr>
          <w:rFonts w:hint="eastAsia" w:ascii="宋体" w:hAnsi="宋体" w:eastAsia="方正仿宋简体" w:cs="Times New Roman"/>
          <w:color w:val="auto"/>
          <w:lang w:val="en-US" w:eastAsia="zh-CN"/>
        </w:rPr>
        <w:t>县</w:t>
      </w:r>
      <w:r>
        <w:rPr>
          <w:rFonts w:hint="eastAsia" w:ascii="宋体" w:hAnsi="宋体" w:eastAsia="方正仿宋简体" w:cs="Times New Roman"/>
          <w:color w:val="auto"/>
        </w:rPr>
        <w:t>根据实际情况确定。</w:t>
      </w:r>
    </w:p>
    <w:p>
      <w:pPr>
        <w:keepNext w:val="0"/>
        <w:keepLines w:val="0"/>
        <w:pageBreakBefore w:val="0"/>
        <w:widowControl w:val="0"/>
        <w:kinsoku/>
        <w:wordWrap/>
        <w:overflowPunct/>
        <w:topLinePunct w:val="0"/>
        <w:autoSpaceDE/>
        <w:autoSpaceDN/>
        <w:bidi w:val="0"/>
        <w:adjustRightInd/>
        <w:snapToGrid/>
        <w:spacing w:line="572" w:lineRule="atLeast"/>
        <w:ind w:left="0"/>
        <w:textAlignment w:val="auto"/>
        <w:rPr>
          <w:rFonts w:ascii="宋体" w:hAnsi="宋体" w:eastAsia="方正仿宋简体"/>
          <w:color w:val="auto"/>
        </w:rPr>
      </w:pPr>
      <w:r>
        <w:rPr>
          <w:rFonts w:hint="eastAsia" w:ascii="宋体" w:hAnsi="宋体" w:eastAsia="方正楷体简体"/>
          <w:color w:val="auto"/>
        </w:rPr>
        <w:t>（二）公开规范原则。</w:t>
      </w:r>
      <w:r>
        <w:rPr>
          <w:rFonts w:hint="eastAsia" w:ascii="宋体" w:hAnsi="宋体" w:eastAsia="方正仿宋简体"/>
          <w:color w:val="auto"/>
        </w:rPr>
        <w:t>专项资金使用应公开透明、公平公正、科学规范，严格遵守国家有关法律法规和财务制度管理规定。资金使用中属于政府采购管理范围事项或政府购买服务事项，须按照政府采购或政府购买服务有关规定执行。项目资金分配和使用情况及时向社会公示，接受相关部门和社会监督。</w:t>
      </w:r>
    </w:p>
    <w:p>
      <w:pPr>
        <w:keepNext w:val="0"/>
        <w:keepLines w:val="0"/>
        <w:pageBreakBefore w:val="0"/>
        <w:widowControl w:val="0"/>
        <w:kinsoku/>
        <w:wordWrap/>
        <w:overflowPunct/>
        <w:topLinePunct w:val="0"/>
        <w:autoSpaceDE/>
        <w:autoSpaceDN/>
        <w:bidi w:val="0"/>
        <w:adjustRightInd/>
        <w:snapToGrid/>
        <w:spacing w:line="572" w:lineRule="atLeast"/>
        <w:ind w:left="0" w:firstLine="0" w:firstLineChars="0"/>
        <w:jc w:val="both"/>
        <w:textAlignment w:val="auto"/>
        <w:rPr>
          <w:rFonts w:hint="eastAsia" w:ascii="宋体" w:hAnsi="宋体" w:eastAsia="方正楷体简体"/>
          <w:color w:val="auto"/>
        </w:rPr>
      </w:pPr>
      <w:r>
        <w:rPr>
          <w:rFonts w:hint="eastAsia" w:ascii="宋体" w:hAnsi="宋体" w:eastAsia="方正楷体简体"/>
          <w:color w:val="auto"/>
          <w:lang w:val="en-US" w:eastAsia="zh-CN"/>
        </w:rPr>
        <w:t xml:space="preserve">   </w:t>
      </w:r>
      <w:r>
        <w:rPr>
          <w:rFonts w:hint="eastAsia" w:ascii="宋体" w:hAnsi="宋体" w:eastAsia="方正楷体简体"/>
          <w:color w:val="auto"/>
        </w:rPr>
        <w:t>（三）开放共享</w:t>
      </w:r>
      <w:r>
        <w:rPr>
          <w:rFonts w:hint="eastAsia" w:ascii="宋体" w:hAnsi="宋体" w:eastAsia="方正楷体简体"/>
          <w:color w:val="auto"/>
          <w:lang w:val="en-US" w:eastAsia="zh-CN"/>
        </w:rPr>
        <w:t>原则</w:t>
      </w:r>
      <w:r>
        <w:rPr>
          <w:rFonts w:hint="eastAsia" w:ascii="宋体" w:hAnsi="宋体" w:eastAsia="方正楷体简体"/>
          <w:color w:val="auto"/>
        </w:rPr>
        <w:t>。</w:t>
      </w:r>
      <w:r>
        <w:rPr>
          <w:rFonts w:hint="eastAsia" w:ascii="宋体" w:hAnsi="宋体" w:eastAsia="方正仿宋简体" w:cs="Times New Roman"/>
          <w:color w:val="auto"/>
        </w:rPr>
        <w:t>凡是使用中央财政资金建设的公共服务中心（站点）、物流配送体系等公共服务类综合示范项目必须开放、共享，向社会提供市场化服务，严禁仅向特定企业提供服务。</w:t>
      </w:r>
    </w:p>
    <w:p>
      <w:pPr>
        <w:keepNext w:val="0"/>
        <w:keepLines w:val="0"/>
        <w:pageBreakBefore w:val="0"/>
        <w:widowControl w:val="0"/>
        <w:kinsoku/>
        <w:wordWrap/>
        <w:overflowPunct/>
        <w:topLinePunct w:val="0"/>
        <w:autoSpaceDE/>
        <w:autoSpaceDN/>
        <w:bidi w:val="0"/>
        <w:adjustRightInd/>
        <w:snapToGrid/>
        <w:spacing w:line="572" w:lineRule="atLeast"/>
        <w:ind w:left="0" w:firstLine="0" w:firstLineChars="0"/>
        <w:jc w:val="center"/>
        <w:textAlignment w:val="auto"/>
        <w:rPr>
          <w:rFonts w:hint="eastAsia" w:ascii="宋体" w:hAnsi="宋体" w:eastAsia="方正黑体简体"/>
          <w:color w:val="auto"/>
          <w:lang w:val="en-US" w:eastAsia="zh-CN"/>
        </w:rPr>
      </w:pPr>
      <w:r>
        <w:rPr>
          <w:rFonts w:hint="eastAsia" w:ascii="宋体" w:hAnsi="宋体" w:eastAsia="方正黑体简体"/>
          <w:color w:val="auto"/>
        </w:rPr>
        <w:t>第二章</w:t>
      </w:r>
      <w:r>
        <w:rPr>
          <w:rFonts w:hint="eastAsia" w:ascii="宋体" w:hAnsi="宋体" w:eastAsia="方正黑体简体"/>
          <w:color w:val="auto"/>
          <w:lang w:val="en-US" w:eastAsia="zh-CN"/>
        </w:rPr>
        <w:t xml:space="preserve"> </w:t>
      </w:r>
      <w:r>
        <w:rPr>
          <w:rFonts w:hint="default" w:ascii="宋体" w:hAnsi="宋体" w:eastAsia="方正黑体简体"/>
          <w:color w:val="auto"/>
        </w:rPr>
        <w:t>专项资金支持方</w:t>
      </w:r>
      <w:r>
        <w:rPr>
          <w:rFonts w:hint="eastAsia" w:ascii="宋体" w:hAnsi="宋体" w:eastAsia="方正黑体简体"/>
          <w:color w:val="auto"/>
          <w:lang w:val="en-US" w:eastAsia="zh-CN"/>
        </w:rPr>
        <w:t>式、重点及标准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ascii="宋体" w:hAnsi="宋体" w:eastAsia="方正仿宋简体"/>
          <w:color w:val="auto"/>
        </w:rPr>
      </w:pPr>
      <w:r>
        <w:rPr>
          <w:rFonts w:hint="eastAsia" w:ascii="宋体" w:hAnsi="宋体" w:eastAsia="方正黑体简体"/>
          <w:color w:val="auto"/>
          <w:lang w:val="en-US" w:eastAsia="zh-CN"/>
        </w:rPr>
        <w:t>第六条</w:t>
      </w:r>
      <w:r>
        <w:rPr>
          <w:rFonts w:hint="eastAsia" w:ascii="宋体" w:hAnsi="宋体" w:eastAsia="方正楷体简体" w:cs="方正楷体简体"/>
          <w:color w:val="auto"/>
          <w:lang w:val="en-US" w:eastAsia="zh-CN"/>
        </w:rPr>
        <w:t xml:space="preserve"> </w:t>
      </w:r>
      <w:r>
        <w:rPr>
          <w:rFonts w:hint="default" w:ascii="宋体" w:hAnsi="宋体" w:eastAsia="方正仿宋简体" w:cs="Times New Roman"/>
          <w:color w:val="auto"/>
          <w:lang w:val="en-US" w:eastAsia="zh-CN"/>
        </w:rPr>
        <w:t>专项资金支持方</w:t>
      </w:r>
      <w:r>
        <w:rPr>
          <w:rFonts w:hint="eastAsia" w:ascii="宋体" w:hAnsi="宋体" w:eastAsia="方正仿宋简体" w:cs="Times New Roman"/>
          <w:color w:val="auto"/>
          <w:lang w:val="en-US" w:eastAsia="zh-CN"/>
        </w:rPr>
        <w:t>式。</w:t>
      </w:r>
      <w:r>
        <w:rPr>
          <w:rFonts w:hint="eastAsia" w:ascii="宋体" w:hAnsi="宋体" w:eastAsia="方正仿宋简体" w:cs="Times New Roman"/>
          <w:color w:val="auto"/>
        </w:rPr>
        <w:t>鼓励优先采取贷款贴息、购买服务、以奖代补等支持方式，加快资金拨付进度，提高资金使用效益。</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default" w:ascii="宋体" w:hAnsi="宋体" w:eastAsia="方正仿宋简体" w:cs="Times New Roman"/>
          <w:color w:val="auto"/>
          <w:lang w:val="en-US" w:eastAsia="zh-CN"/>
        </w:rPr>
      </w:pPr>
      <w:r>
        <w:rPr>
          <w:rFonts w:hint="eastAsia" w:ascii="宋体" w:hAnsi="宋体" w:eastAsia="方正黑体简体"/>
          <w:color w:val="auto"/>
          <w:lang w:val="en-US" w:eastAsia="zh-CN"/>
        </w:rPr>
        <w:t xml:space="preserve">第七条 </w:t>
      </w:r>
      <w:r>
        <w:rPr>
          <w:rFonts w:hint="eastAsia" w:ascii="宋体" w:hAnsi="宋体" w:eastAsia="方正仿宋简体" w:cs="Times New Roman"/>
          <w:color w:val="auto"/>
          <w:lang w:val="en-US" w:eastAsia="zh-CN"/>
        </w:rPr>
        <w:t>支持的重点及标准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default" w:ascii="宋体" w:hAnsi="宋体" w:eastAsia="方正仿宋简体" w:cs="Times New Roman"/>
          <w:color w:val="auto"/>
        </w:rPr>
      </w:pPr>
      <w:r>
        <w:rPr>
          <w:rFonts w:hint="eastAsia" w:ascii="宋体" w:hAnsi="宋体" w:eastAsia="方正楷体简体" w:cs="方正楷体简体"/>
          <w:b w:val="0"/>
          <w:bCs w:val="0"/>
          <w:color w:val="auto"/>
          <w:lang w:val="en-US" w:eastAsia="zh-CN"/>
        </w:rPr>
        <w:t>（一）</w:t>
      </w:r>
      <w:r>
        <w:rPr>
          <w:rFonts w:hint="default" w:ascii="宋体" w:hAnsi="宋体" w:eastAsia="方正楷体简体" w:cs="方正楷体简体"/>
          <w:b w:val="0"/>
          <w:bCs w:val="0"/>
          <w:color w:val="auto"/>
          <w:lang w:val="en-US" w:eastAsia="zh-CN"/>
        </w:rPr>
        <w:t>建设完善县域物流共同配送体系。</w:t>
      </w:r>
      <w:r>
        <w:rPr>
          <w:rFonts w:hint="eastAsia" w:ascii="宋体" w:hAnsi="宋体" w:eastAsia="方正仿宋简体" w:cs="Times New Roman"/>
          <w:color w:val="000000"/>
          <w:sz w:val="32"/>
          <w:szCs w:val="32"/>
          <w:lang w:eastAsia="zh-CN"/>
        </w:rPr>
        <w:t>提供</w:t>
      </w:r>
      <w:r>
        <w:rPr>
          <w:rFonts w:hint="eastAsia" w:ascii="宋体" w:hAnsi="宋体" w:eastAsia="方正仿宋简体" w:cs="Times New Roman"/>
          <w:color w:val="000000"/>
          <w:sz w:val="32"/>
          <w:szCs w:val="32"/>
          <w:lang w:val="en-US" w:eastAsia="zh-CN"/>
        </w:rPr>
        <w:t>分级包装、</w:t>
      </w:r>
      <w:r>
        <w:rPr>
          <w:rFonts w:hint="eastAsia" w:ascii="宋体" w:hAnsi="宋体" w:eastAsia="方正仿宋简体" w:cs="Times New Roman"/>
          <w:color w:val="000000"/>
          <w:sz w:val="32"/>
          <w:szCs w:val="32"/>
          <w:lang w:eastAsia="zh-CN"/>
        </w:rPr>
        <w:t>分拣</w:t>
      </w:r>
      <w:r>
        <w:rPr>
          <w:rFonts w:hint="default" w:ascii="宋体" w:hAnsi="宋体" w:eastAsia="方正仿宋简体" w:cs="Times New Roman"/>
          <w:color w:val="000000"/>
          <w:sz w:val="32"/>
          <w:szCs w:val="32"/>
        </w:rPr>
        <w:t>、</w:t>
      </w:r>
      <w:r>
        <w:rPr>
          <w:rFonts w:hint="eastAsia" w:ascii="宋体" w:hAnsi="宋体" w:eastAsia="方正仿宋简体" w:cs="Times New Roman"/>
          <w:color w:val="000000"/>
          <w:sz w:val="32"/>
          <w:szCs w:val="32"/>
          <w:lang w:val="en-US" w:eastAsia="zh-CN"/>
        </w:rPr>
        <w:t>仓储</w:t>
      </w:r>
      <w:r>
        <w:rPr>
          <w:rFonts w:hint="default" w:ascii="宋体" w:hAnsi="宋体" w:eastAsia="方正仿宋简体" w:cs="Times New Roman"/>
          <w:color w:val="000000"/>
          <w:sz w:val="32"/>
          <w:szCs w:val="32"/>
        </w:rPr>
        <w:t>配送</w:t>
      </w:r>
      <w:r>
        <w:rPr>
          <w:rFonts w:hint="eastAsia" w:ascii="宋体" w:hAnsi="宋体" w:eastAsia="方正仿宋简体" w:cs="Times New Roman"/>
          <w:color w:val="000000"/>
          <w:sz w:val="32"/>
          <w:szCs w:val="32"/>
          <w:lang w:val="en-US" w:eastAsia="zh-CN"/>
        </w:rPr>
        <w:t>和</w:t>
      </w:r>
      <w:r>
        <w:rPr>
          <w:rFonts w:hint="default" w:ascii="宋体" w:hAnsi="宋体" w:eastAsia="方正仿宋简体" w:cs="Times New Roman"/>
          <w:color w:val="000000"/>
          <w:sz w:val="32"/>
          <w:szCs w:val="32"/>
        </w:rPr>
        <w:t>信息等服务</w:t>
      </w:r>
      <w:r>
        <w:rPr>
          <w:rFonts w:hint="eastAsia" w:ascii="宋体" w:hAnsi="宋体" w:eastAsia="方正仿宋简体" w:cs="Times New Roman"/>
          <w:color w:val="000000"/>
          <w:sz w:val="32"/>
          <w:szCs w:val="32"/>
          <w:lang w:eastAsia="zh-CN"/>
        </w:rPr>
        <w:t>。</w:t>
      </w:r>
      <w:r>
        <w:rPr>
          <w:rFonts w:hint="eastAsia" w:ascii="宋体" w:hAnsi="宋体" w:eastAsia="方正仿宋简体" w:cs="Times New Roman"/>
          <w:color w:val="000000"/>
          <w:sz w:val="32"/>
          <w:szCs w:val="32"/>
          <w:lang w:val="en-US" w:eastAsia="zh-CN"/>
        </w:rPr>
        <w:t>配备冷链物流设施，</w:t>
      </w:r>
      <w:r>
        <w:rPr>
          <w:rFonts w:ascii="宋体" w:hAnsi="宋体" w:eastAsia="方正仿宋简体"/>
          <w:color w:val="000000"/>
          <w:kern w:val="0"/>
          <w:sz w:val="32"/>
          <w:szCs w:val="32"/>
        </w:rPr>
        <w:t>提供保鲜、冷藏</w:t>
      </w:r>
      <w:r>
        <w:rPr>
          <w:rFonts w:hint="eastAsia" w:ascii="宋体" w:hAnsi="宋体" w:eastAsia="方正仿宋简体"/>
          <w:color w:val="000000"/>
          <w:kern w:val="0"/>
          <w:sz w:val="32"/>
          <w:szCs w:val="32"/>
          <w:lang w:val="en-US" w:eastAsia="zh-CN"/>
        </w:rPr>
        <w:t>等冷链</w:t>
      </w:r>
      <w:r>
        <w:rPr>
          <w:rFonts w:hint="eastAsia" w:ascii="宋体" w:hAnsi="宋体" w:eastAsia="方正仿宋简体"/>
          <w:color w:val="000000"/>
          <w:kern w:val="0"/>
          <w:sz w:val="32"/>
          <w:szCs w:val="32"/>
          <w:lang w:eastAsia="zh-CN"/>
        </w:rPr>
        <w:t>服务</w:t>
      </w:r>
      <w:r>
        <w:rPr>
          <w:rFonts w:ascii="宋体" w:hAnsi="宋体" w:eastAsia="方正仿宋简体"/>
          <w:color w:val="000000"/>
          <w:kern w:val="0"/>
          <w:sz w:val="32"/>
          <w:szCs w:val="32"/>
        </w:rPr>
        <w:t>。</w:t>
      </w:r>
      <w:r>
        <w:rPr>
          <w:rFonts w:hint="eastAsia" w:ascii="宋体" w:hAnsi="宋体" w:eastAsia="方正仿宋简体" w:cs="Times New Roman"/>
          <w:color w:val="000000"/>
          <w:sz w:val="32"/>
          <w:szCs w:val="32"/>
          <w:lang w:eastAsia="zh-CN"/>
        </w:rPr>
        <w:t>统一调配仓储资源，引导县域实体商业、电商快递、跨境电商、国际贸易等共享仓储设施，提高仓储资源利用率。充分利用信息化技术手段，实现“一点多能、多站合一”的物流综合服务，整合邮政、供销、商贸物流、快递、城乡客运公交等现有物流资源，</w:t>
      </w:r>
      <w:r>
        <w:rPr>
          <w:rFonts w:hint="default" w:ascii="宋体" w:hAnsi="宋体" w:eastAsia="方正仿宋简体" w:cs="Times New Roman"/>
          <w:color w:val="000000"/>
          <w:sz w:val="32"/>
          <w:szCs w:val="32"/>
          <w:lang w:eastAsia="zh-CN"/>
        </w:rPr>
        <w:t>推动共同配送发展</w:t>
      </w:r>
      <w:r>
        <w:rPr>
          <w:rFonts w:hint="eastAsia" w:ascii="宋体" w:hAnsi="宋体" w:eastAsia="方正仿宋简体" w:cs="Times New Roman"/>
          <w:color w:val="000000"/>
          <w:sz w:val="32"/>
          <w:szCs w:val="32"/>
          <w:lang w:eastAsia="zh-CN"/>
        </w:rPr>
        <w:t>，</w:t>
      </w:r>
      <w:r>
        <w:rPr>
          <w:rFonts w:hint="eastAsia" w:ascii="宋体" w:hAnsi="宋体" w:eastAsia="方正仿宋简体" w:cs="Times New Roman"/>
          <w:color w:val="000000"/>
          <w:sz w:val="32"/>
          <w:szCs w:val="32"/>
          <w:lang w:val="en-US" w:eastAsia="zh-CN"/>
        </w:rPr>
        <w:t>提高物流效率，</w:t>
      </w:r>
      <w:r>
        <w:rPr>
          <w:rFonts w:hint="eastAsia" w:ascii="宋体" w:hAnsi="宋体" w:eastAsia="方正仿宋简体" w:cs="Times New Roman"/>
          <w:color w:val="000000"/>
          <w:sz w:val="32"/>
          <w:szCs w:val="32"/>
          <w:lang w:eastAsia="zh-CN"/>
        </w:rPr>
        <w:t>降低物流成本。</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default" w:ascii="宋体" w:hAnsi="宋体" w:eastAsia="方正仿宋简体" w:cs="Times New Roman"/>
          <w:color w:val="auto"/>
        </w:rPr>
      </w:pPr>
      <w:r>
        <w:rPr>
          <w:rFonts w:hint="eastAsia" w:ascii="宋体" w:hAnsi="宋体" w:eastAsia="方正楷体简体" w:cs="方正楷体简体"/>
          <w:b w:val="0"/>
          <w:bCs w:val="0"/>
          <w:color w:val="auto"/>
          <w:lang w:val="en-US" w:eastAsia="zh-CN"/>
        </w:rPr>
        <w:t>（二）</w:t>
      </w:r>
      <w:r>
        <w:rPr>
          <w:rFonts w:hint="default" w:ascii="宋体" w:hAnsi="宋体" w:eastAsia="方正楷体简体" w:cs="方正楷体简体"/>
          <w:b w:val="0"/>
          <w:bCs w:val="0"/>
          <w:color w:val="auto"/>
          <w:lang w:val="en-US" w:eastAsia="zh-CN"/>
        </w:rPr>
        <w:t>农产品进城公共服务体系。</w:t>
      </w:r>
      <w:r>
        <w:rPr>
          <w:rFonts w:hint="eastAsia" w:ascii="宋体" w:hAnsi="宋体" w:eastAsia="方正仿宋简体" w:cs="方正仿宋简体"/>
          <w:bCs/>
          <w:color w:val="000000"/>
          <w:sz w:val="32"/>
          <w:szCs w:val="32"/>
          <w:highlight w:val="none"/>
          <w:lang w:val="en-US" w:eastAsia="zh-CN"/>
        </w:rPr>
        <w:t>支</w:t>
      </w:r>
      <w:r>
        <w:rPr>
          <w:rFonts w:hint="default" w:ascii="宋体" w:hAnsi="宋体" w:eastAsia="方正仿宋简体" w:cs="Times New Roman"/>
          <w:color w:val="auto"/>
        </w:rPr>
        <w:t>持县域公共品牌建设及营销推广，</w:t>
      </w:r>
      <w:r>
        <w:rPr>
          <w:rFonts w:hint="eastAsia" w:ascii="宋体" w:hAnsi="宋体" w:eastAsia="方正仿宋简体" w:cs="方正仿宋简体"/>
          <w:bCs/>
          <w:color w:val="000000"/>
          <w:sz w:val="32"/>
          <w:szCs w:val="32"/>
          <w:highlight w:val="none"/>
          <w:lang w:val="en-US" w:eastAsia="zh-CN"/>
        </w:rPr>
        <w:t>以县内产业龙头企业为主，整合相关企业合作社商标和地理标志产品、绿色食品等，完成县域农产品公共区域品牌的开发。</w:t>
      </w:r>
      <w:r>
        <w:rPr>
          <w:rFonts w:hint="eastAsia" w:ascii="宋体" w:hAnsi="宋体" w:eastAsia="方正仿宋简体" w:cs="方正仿宋简体"/>
          <w:b w:val="0"/>
          <w:bCs/>
          <w:i w:val="0"/>
          <w:caps w:val="0"/>
          <w:color w:val="000000"/>
          <w:spacing w:val="0"/>
          <w:sz w:val="32"/>
          <w:szCs w:val="32"/>
          <w:shd w:val="clear" w:color="auto" w:fill="FFFFFF"/>
          <w:lang w:eastAsia="zh-CN"/>
        </w:rPr>
        <w:t>力争</w:t>
      </w:r>
      <w:r>
        <w:rPr>
          <w:rFonts w:hint="eastAsia" w:ascii="宋体" w:hAnsi="宋体" w:eastAsia="方正仿宋简体" w:cs="方正仿宋简体"/>
          <w:b w:val="0"/>
          <w:bCs/>
          <w:color w:val="000000"/>
          <w:sz w:val="32"/>
          <w:szCs w:val="32"/>
          <w:shd w:val="clear" w:color="auto" w:fill="FFFFFF"/>
        </w:rPr>
        <w:t>规模化生产经营主体全部上线</w:t>
      </w:r>
      <w:r>
        <w:rPr>
          <w:rFonts w:hint="eastAsia" w:ascii="宋体" w:hAnsi="宋体" w:eastAsia="方正仿宋简体" w:cs="方正仿宋简体"/>
          <w:b w:val="0"/>
          <w:bCs/>
          <w:color w:val="000000"/>
          <w:sz w:val="32"/>
          <w:szCs w:val="32"/>
          <w:shd w:val="clear" w:color="auto" w:fill="FFFFFF"/>
          <w:lang w:val="en-US" w:eastAsia="zh-CN"/>
        </w:rPr>
        <w:t>入网，</w:t>
      </w:r>
      <w:r>
        <w:rPr>
          <w:rFonts w:hint="eastAsia" w:ascii="宋体" w:hAnsi="宋体" w:eastAsia="方正仿宋简体" w:cs="方正仿宋简体"/>
          <w:bCs/>
          <w:color w:val="000000"/>
          <w:sz w:val="32"/>
          <w:szCs w:val="32"/>
          <w:highlight w:val="none"/>
          <w:lang w:eastAsia="zh-CN"/>
        </w:rPr>
        <w:t>优化</w:t>
      </w:r>
      <w:r>
        <w:rPr>
          <w:rFonts w:hint="eastAsia" w:ascii="宋体" w:hAnsi="宋体" w:eastAsia="方正仿宋简体" w:cs="方正仿宋简体"/>
          <w:bCs/>
          <w:color w:val="000000"/>
          <w:sz w:val="32"/>
          <w:szCs w:val="32"/>
          <w:highlight w:val="none"/>
        </w:rPr>
        <w:t>网销农产品的检测检验服务</w:t>
      </w:r>
      <w:r>
        <w:rPr>
          <w:rFonts w:hint="eastAsia" w:ascii="宋体" w:hAnsi="宋体" w:eastAsia="方正仿宋简体" w:cs="方正仿宋简体"/>
          <w:bCs/>
          <w:color w:val="000000"/>
          <w:sz w:val="32"/>
          <w:szCs w:val="32"/>
          <w:highlight w:val="none"/>
          <w:lang w:eastAsia="zh-CN"/>
        </w:rPr>
        <w:t>，</w:t>
      </w:r>
      <w:r>
        <w:rPr>
          <w:rFonts w:hint="eastAsia" w:ascii="宋体" w:hAnsi="宋体" w:eastAsia="方正仿宋简体" w:cs="方正仿宋简体"/>
          <w:bCs/>
          <w:color w:val="000000"/>
          <w:sz w:val="32"/>
          <w:szCs w:val="32"/>
          <w:highlight w:val="none"/>
          <w:lang w:val="en-US" w:eastAsia="zh-CN"/>
        </w:rPr>
        <w:t>支持规模化生产经营主体实施农产品质量安全深度</w:t>
      </w:r>
      <w:r>
        <w:rPr>
          <w:rFonts w:hint="eastAsia" w:ascii="宋体" w:hAnsi="宋体" w:eastAsia="方正仿宋简体" w:cs="方正仿宋简体"/>
          <w:color w:val="000000"/>
          <w:sz w:val="32"/>
          <w:szCs w:val="32"/>
          <w:lang w:val="en-US" w:eastAsia="zh-CN"/>
        </w:rPr>
        <w:t>溯源，</w:t>
      </w:r>
      <w:r>
        <w:rPr>
          <w:rFonts w:hint="eastAsia" w:ascii="宋体" w:hAnsi="宋体" w:eastAsia="方正仿宋简体" w:cs="方正仿宋简体"/>
          <w:b w:val="0"/>
          <w:bCs/>
          <w:color w:val="000000"/>
          <w:sz w:val="32"/>
          <w:szCs w:val="32"/>
          <w:shd w:val="clear" w:color="auto" w:fill="FFFFFF"/>
        </w:rPr>
        <w:t>实现全</w:t>
      </w:r>
      <w:r>
        <w:rPr>
          <w:rFonts w:hint="eastAsia" w:ascii="宋体" w:hAnsi="宋体" w:eastAsia="方正仿宋简体" w:cs="方正仿宋简体"/>
          <w:b w:val="0"/>
          <w:bCs/>
          <w:color w:val="000000"/>
          <w:sz w:val="32"/>
          <w:szCs w:val="32"/>
          <w:shd w:val="clear" w:color="auto" w:fill="FFFFFF"/>
          <w:lang w:val="en-US" w:eastAsia="zh-CN"/>
        </w:rPr>
        <w:t>县</w:t>
      </w:r>
      <w:r>
        <w:rPr>
          <w:rFonts w:hint="eastAsia" w:ascii="宋体" w:hAnsi="宋体" w:eastAsia="方正仿宋简体" w:cs="方正仿宋简体"/>
          <w:b w:val="0"/>
          <w:bCs/>
          <w:color w:val="000000"/>
          <w:sz w:val="32"/>
          <w:szCs w:val="32"/>
          <w:shd w:val="clear" w:color="auto" w:fill="FFFFFF"/>
        </w:rPr>
        <w:t>农产品“源头可追溯、流向可跟踪、信息可查询、责任可追究”</w:t>
      </w:r>
      <w:r>
        <w:rPr>
          <w:rFonts w:hint="eastAsia" w:ascii="宋体" w:hAnsi="宋体" w:eastAsia="方正仿宋简体" w:cs="方正仿宋简体"/>
          <w:b w:val="0"/>
          <w:bCs/>
          <w:color w:val="000000"/>
          <w:sz w:val="32"/>
          <w:szCs w:val="32"/>
          <w:shd w:val="clear" w:color="auto" w:fill="FFFFFF"/>
          <w:lang w:eastAsia="zh-CN"/>
        </w:rPr>
        <w:t>。</w:t>
      </w:r>
      <w:r>
        <w:rPr>
          <w:rFonts w:hint="eastAsia" w:ascii="宋体" w:hAnsi="宋体" w:eastAsia="方正仿宋简体" w:cs="方正仿宋简体"/>
          <w:bCs/>
          <w:color w:val="000000"/>
          <w:sz w:val="32"/>
          <w:szCs w:val="32"/>
          <w:highlight w:val="none"/>
          <w:lang w:val="en-US" w:eastAsia="zh-CN"/>
        </w:rPr>
        <w:t>开展农产品精准营销和品牌宣传。支持提供农村产品品牌策划、包装设计、视频拍摄、代运营、运营推广、第三方平台对接、分销体系建设等服务，利用丰富多样的宣传推介方式开展农产品营销，积极接入新兴社交电商平台、专业电商平台等，开展农村产品线上线下整合营销</w:t>
      </w:r>
      <w:r>
        <w:rPr>
          <w:rFonts w:hint="default" w:ascii="宋体" w:hAnsi="宋体" w:eastAsia="方正仿宋简体" w:cs="Times New Roman"/>
          <w:color w:val="auto"/>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default" w:ascii="宋体" w:hAnsi="宋体" w:eastAsia="方正仿宋简体" w:cs="Times New Roman"/>
          <w:color w:val="auto"/>
        </w:rPr>
      </w:pPr>
      <w:r>
        <w:rPr>
          <w:rFonts w:hint="eastAsia" w:ascii="宋体" w:hAnsi="宋体" w:eastAsia="方正楷体简体" w:cs="方正楷体简体"/>
          <w:b w:val="0"/>
          <w:bCs w:val="0"/>
          <w:color w:val="auto"/>
          <w:lang w:val="en-US" w:eastAsia="zh-CN"/>
        </w:rPr>
        <w:t>（三）</w:t>
      </w:r>
      <w:r>
        <w:rPr>
          <w:rFonts w:hint="default" w:ascii="宋体" w:hAnsi="宋体" w:eastAsia="方正楷体简体" w:cs="方正楷体简体"/>
          <w:b w:val="0"/>
          <w:bCs w:val="0"/>
          <w:color w:val="auto"/>
          <w:lang w:val="en-US" w:eastAsia="zh-CN"/>
        </w:rPr>
        <w:t>农村电商公共服务体系。</w:t>
      </w:r>
      <w:r>
        <w:rPr>
          <w:rFonts w:hint="default" w:ascii="宋体" w:hAnsi="宋体" w:eastAsia="方正仿宋简体" w:cs="Times New Roman"/>
          <w:color w:val="auto"/>
        </w:rPr>
        <w:t>支持县级电商公共服务中心的建设改造</w:t>
      </w:r>
      <w:r>
        <w:rPr>
          <w:rFonts w:hint="eastAsia" w:ascii="宋体" w:hAnsi="宋体" w:eastAsia="方正仿宋简体" w:cs="Times New Roman"/>
          <w:b w:val="0"/>
          <w:bCs w:val="0"/>
          <w:color w:val="000000" w:themeColor="text1"/>
          <w:sz w:val="32"/>
          <w:szCs w:val="32"/>
          <w:lang w:val="en-US" w:eastAsia="zh-CN"/>
        </w:rPr>
        <w:t>，</w:t>
      </w:r>
      <w:r>
        <w:rPr>
          <w:rFonts w:hint="default" w:ascii="宋体" w:hAnsi="宋体" w:eastAsia="方正仿宋简体" w:cs="Times New Roman"/>
          <w:b w:val="0"/>
          <w:bCs w:val="0"/>
          <w:color w:val="000000" w:themeColor="text1"/>
          <w:sz w:val="32"/>
          <w:szCs w:val="32"/>
          <w:lang w:val="en-US" w:eastAsia="zh-CN"/>
        </w:rPr>
        <w:t>主要包括：办公设施、培训教室、服务前台、产品展销、企业孵化、数据采集统计等场所的装修改造；配备电脑</w:t>
      </w:r>
      <w:r>
        <w:rPr>
          <w:rFonts w:hint="eastAsia" w:ascii="宋体" w:hAnsi="宋体" w:eastAsia="方正仿宋简体" w:cs="Times New Roman"/>
          <w:b w:val="0"/>
          <w:bCs w:val="0"/>
          <w:color w:val="000000" w:themeColor="text1"/>
          <w:sz w:val="32"/>
          <w:szCs w:val="32"/>
          <w:lang w:val="en-US" w:eastAsia="zh-CN"/>
        </w:rPr>
        <w:t>、直播设备</w:t>
      </w:r>
      <w:r>
        <w:rPr>
          <w:rFonts w:hint="default" w:ascii="宋体" w:hAnsi="宋体" w:eastAsia="方正仿宋简体" w:cs="Times New Roman"/>
          <w:b w:val="0"/>
          <w:bCs w:val="0"/>
          <w:color w:val="000000" w:themeColor="text1"/>
          <w:sz w:val="32"/>
          <w:szCs w:val="32"/>
          <w:lang w:val="en-US" w:eastAsia="zh-CN"/>
        </w:rPr>
        <w:t>等必要的设施设备；运营商的房租、水电物业管理等运营维护费。对接</w:t>
      </w:r>
      <w:r>
        <w:rPr>
          <w:rFonts w:hint="eastAsia" w:ascii="宋体" w:hAnsi="宋体" w:eastAsia="方正仿宋简体" w:cs="Times New Roman"/>
          <w:b w:val="0"/>
          <w:bCs w:val="0"/>
          <w:color w:val="000000" w:themeColor="text1"/>
          <w:sz w:val="32"/>
          <w:szCs w:val="32"/>
          <w:lang w:val="en-US" w:eastAsia="zh-CN"/>
        </w:rPr>
        <w:t>州</w:t>
      </w:r>
      <w:r>
        <w:rPr>
          <w:rFonts w:hint="default" w:ascii="宋体" w:hAnsi="宋体" w:eastAsia="方正仿宋简体" w:cs="Times New Roman"/>
          <w:b w:val="0"/>
          <w:bCs w:val="0"/>
          <w:color w:val="000000" w:themeColor="text1"/>
          <w:sz w:val="32"/>
          <w:szCs w:val="32"/>
          <w:lang w:val="en-US" w:eastAsia="zh-CN"/>
        </w:rPr>
        <w:t>级电子商务</w:t>
      </w:r>
      <w:r>
        <w:rPr>
          <w:rFonts w:hint="eastAsia" w:ascii="宋体" w:hAnsi="宋体" w:eastAsia="方正仿宋简体" w:cs="Times New Roman"/>
          <w:b w:val="0"/>
          <w:bCs w:val="0"/>
          <w:color w:val="000000" w:themeColor="text1"/>
          <w:sz w:val="32"/>
          <w:szCs w:val="32"/>
          <w:lang w:val="en-US" w:eastAsia="zh-CN"/>
        </w:rPr>
        <w:t>公共信息服务平台</w:t>
      </w:r>
      <w:r>
        <w:rPr>
          <w:rFonts w:hint="default" w:ascii="宋体" w:hAnsi="宋体" w:eastAsia="方正仿宋简体" w:cs="Times New Roman"/>
          <w:b w:val="0"/>
          <w:bCs w:val="0"/>
          <w:color w:val="000000" w:themeColor="text1"/>
          <w:sz w:val="32"/>
          <w:szCs w:val="32"/>
          <w:lang w:val="en-US" w:eastAsia="zh-CN"/>
        </w:rPr>
        <w:t>。中心应具备的职能包含培训孵化、网店运营、产销对接、品牌建设、网络推广等内容。</w:t>
      </w:r>
      <w:r>
        <w:rPr>
          <w:rFonts w:hint="default" w:ascii="宋体" w:hAnsi="宋体" w:eastAsia="方正仿宋简体" w:cs="Times New Roman"/>
          <w:color w:val="auto"/>
        </w:rPr>
        <w:t>硬件建设应坚持实用、节约原则，充分利用现有设施设备、闲置厂房。县级公共服务中心建设资金使用比例原则上不超过</w:t>
      </w:r>
      <w:r>
        <w:rPr>
          <w:rFonts w:hint="eastAsia" w:ascii="宋体" w:hAnsi="宋体" w:eastAsia="方正仿宋简体" w:cs="Times New Roman"/>
          <w:color w:val="auto"/>
          <w:lang w:val="en-US" w:eastAsia="zh-CN"/>
        </w:rPr>
        <w:t>15</w:t>
      </w:r>
      <w:r>
        <w:rPr>
          <w:rFonts w:hint="default" w:ascii="宋体" w:hAnsi="宋体" w:eastAsia="方正仿宋简体" w:cs="Times New Roman"/>
          <w:color w:val="auto"/>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default" w:ascii="宋体" w:hAnsi="宋体" w:eastAsia="方正仿宋简体" w:cs="Times New Roman"/>
          <w:color w:val="auto"/>
        </w:rPr>
      </w:pPr>
      <w:r>
        <w:rPr>
          <w:rFonts w:hint="eastAsia" w:ascii="宋体" w:hAnsi="宋体" w:eastAsia="方正楷体简体" w:cs="方正楷体简体"/>
          <w:b w:val="0"/>
          <w:bCs w:val="0"/>
          <w:color w:val="auto"/>
          <w:lang w:val="en-US" w:eastAsia="zh-CN"/>
        </w:rPr>
        <w:t>（四）</w:t>
      </w:r>
      <w:r>
        <w:rPr>
          <w:rFonts w:hint="default" w:ascii="宋体" w:hAnsi="宋体" w:eastAsia="方正楷体简体" w:cs="方正楷体简体"/>
          <w:b w:val="0"/>
          <w:bCs w:val="0"/>
          <w:color w:val="auto"/>
          <w:lang w:val="en-US" w:eastAsia="zh-CN"/>
        </w:rPr>
        <w:t>农村电子商务服务站点体系。</w:t>
      </w:r>
      <w:r>
        <w:rPr>
          <w:rFonts w:hint="default" w:ascii="宋体" w:hAnsi="宋体" w:eastAsia="方正仿宋简体" w:cs="Times New Roman"/>
          <w:color w:val="auto"/>
        </w:rPr>
        <w:t>支持乡镇、村级电商服务体系的建设改造，站点选址及人员优先向具备条件的贫困户倾斜，融合商贸、邮政、供销、快递、金融、政务等资源，拓展便民生活、代买代卖、信息咨询、职业介绍、旅游出行等服务功能，推进智慧乡村服务应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宋体" w:hAnsi="宋体" w:eastAsia="方正仿宋简体" w:cs="Times New Roman"/>
          <w:color w:val="000000"/>
          <w:sz w:val="32"/>
          <w:szCs w:val="32"/>
        </w:rPr>
      </w:pPr>
      <w:r>
        <w:rPr>
          <w:rFonts w:hint="eastAsia" w:ascii="宋体" w:hAnsi="宋体" w:eastAsia="方正楷体简体" w:cs="方正楷体简体"/>
          <w:b w:val="0"/>
          <w:bCs w:val="0"/>
          <w:color w:val="auto"/>
          <w:lang w:val="en-US" w:eastAsia="zh-CN"/>
        </w:rPr>
        <w:t>（五）</w:t>
      </w:r>
      <w:r>
        <w:rPr>
          <w:rFonts w:hint="eastAsia" w:ascii="宋体" w:hAnsi="宋体" w:eastAsia="方正楷体简体" w:cs="方正楷体简体"/>
          <w:b w:val="0"/>
          <w:bCs/>
          <w:color w:val="000000"/>
          <w:sz w:val="32"/>
          <w:szCs w:val="32"/>
        </w:rPr>
        <w:t>工业品下乡流通服务体系</w:t>
      </w:r>
      <w:r>
        <w:rPr>
          <w:rFonts w:hint="eastAsia" w:ascii="宋体" w:hAnsi="宋体" w:eastAsia="方正楷体简体" w:cs="方正楷体简体"/>
          <w:b w:val="0"/>
          <w:bCs/>
          <w:color w:val="000000"/>
          <w:sz w:val="32"/>
          <w:szCs w:val="32"/>
          <w:lang w:eastAsia="zh-CN"/>
        </w:rPr>
        <w:t>。</w:t>
      </w:r>
      <w:r>
        <w:rPr>
          <w:rFonts w:hint="eastAsia" w:ascii="宋体" w:hAnsi="宋体" w:eastAsia="方正仿宋简体" w:cs="Times New Roman"/>
          <w:color w:val="000000"/>
          <w:sz w:val="32"/>
          <w:szCs w:val="32"/>
          <w:lang w:eastAsia="zh-CN"/>
        </w:rPr>
        <w:t>加强农村地区商贸流通企业与电子商务、金融保险、移动支付、就业引导等资源对接，建立本地化、连锁化、信息化的商品流通网络。引导、扶持现有</w:t>
      </w:r>
      <w:r>
        <w:rPr>
          <w:rFonts w:hint="default" w:ascii="宋体" w:hAnsi="宋体" w:eastAsia="方正仿宋简体" w:cs="Times New Roman"/>
          <w:color w:val="000000"/>
          <w:sz w:val="32"/>
          <w:szCs w:val="32"/>
        </w:rPr>
        <w:t>连锁化流通企业通过参与美团、饿了么或本地自建生活服务类平台，</w:t>
      </w:r>
      <w:r>
        <w:rPr>
          <w:rFonts w:hint="eastAsia" w:ascii="宋体" w:hAnsi="宋体" w:eastAsia="方正仿宋简体" w:cs="Times New Roman"/>
          <w:color w:val="000000"/>
          <w:sz w:val="32"/>
          <w:szCs w:val="32"/>
          <w:lang w:eastAsia="zh-CN"/>
        </w:rPr>
        <w:t>依托农村电商服务和物流体系，打造</w:t>
      </w:r>
      <w:r>
        <w:rPr>
          <w:rFonts w:hint="default" w:ascii="宋体" w:hAnsi="宋体" w:eastAsia="方正仿宋简体" w:cs="Times New Roman"/>
          <w:color w:val="000000"/>
          <w:sz w:val="32"/>
          <w:szCs w:val="32"/>
        </w:rPr>
        <w:t>快消、生鲜、家电维修、家电清洗、家政、快递代收等便民服务于一身的新型便利店。通过互联网平台信息发布、订单集中发配、网店与实体店数据共享，以乡镇为重点下沉供应信息及配送信息，开展集中采购、统一配送、直供直销等业务，提升商品品质，更好满足农村居民生活和消费需求。将本地零散销售和规模化流通产品交易数据及时搜集入库，实时掌握当地快销品、日用品消费习惯和规模数据，有针对性地指导商贸企业应用农村消费大数据，提供高品质、低价格商品，更好满足农村居民日常生活和消费需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ascii="宋体" w:hAnsi="宋体" w:eastAsia="方正仿宋简体" w:cs="Times New Roman"/>
          <w:color w:val="auto"/>
        </w:rPr>
      </w:pPr>
      <w:r>
        <w:rPr>
          <w:rFonts w:hint="eastAsia" w:ascii="宋体" w:hAnsi="宋体" w:eastAsia="方正楷体简体" w:cs="方正楷体简体"/>
          <w:b w:val="0"/>
          <w:bCs w:val="0"/>
          <w:color w:val="auto"/>
          <w:lang w:eastAsia="zh-CN"/>
        </w:rPr>
        <w:t>（</w:t>
      </w:r>
      <w:r>
        <w:rPr>
          <w:rFonts w:hint="eastAsia" w:ascii="宋体" w:hAnsi="宋体" w:eastAsia="方正楷体简体" w:cs="方正楷体简体"/>
          <w:b w:val="0"/>
          <w:bCs w:val="0"/>
          <w:color w:val="auto"/>
          <w:lang w:val="en-US" w:eastAsia="zh-CN"/>
        </w:rPr>
        <w:t>六）</w:t>
      </w:r>
      <w:r>
        <w:rPr>
          <w:rFonts w:hint="eastAsia" w:ascii="宋体" w:hAnsi="宋体" w:eastAsia="方正楷体简体" w:cs="方正楷体简体"/>
          <w:b w:val="0"/>
          <w:bCs w:val="0"/>
          <w:color w:val="auto"/>
        </w:rPr>
        <w:t>农村电子商务培训体系。</w:t>
      </w:r>
      <w:r>
        <w:rPr>
          <w:rFonts w:hint="eastAsia" w:ascii="宋体" w:hAnsi="宋体" w:eastAsia="方正仿宋简体" w:cs="Times New Roman"/>
          <w:b w:val="0"/>
          <w:bCs w:val="0"/>
          <w:kern w:val="2"/>
          <w:sz w:val="32"/>
          <w:szCs w:val="32"/>
          <w:lang w:val="en-US" w:eastAsia="zh-CN" w:bidi="ar-SA"/>
        </w:rPr>
        <w:t>支持对返乡农民工、大学生、退伍军人、贫困户等开展农村电商普及和技能培训。针对不同群体需求有针对性、分阶段、分层次开展培训。针对政府工作人员开展电子商务政策、理论、规划、管理和分析等培训；针对涉农企业、专业合作社等开展电商应用、开设网店和网络营销培训；针对有意学习电子商务的农村群众、返乡青年、退伍军人、待就业大学生开展电子商务技能培训；针对有创业意愿的人员开展电商创业、实操培训；针对农村服务站点工作人员、产品经销商等开展服务培训；针对农村群众开展电商普及培训和宣传，结合扶贫工作要求，加大对建档立卡贫困户的培训力度。</w:t>
      </w:r>
      <w:r>
        <w:rPr>
          <w:rFonts w:hint="eastAsia" w:ascii="宋体" w:hAnsi="宋体" w:eastAsia="方正仿宋简体" w:cs="Times New Roman"/>
          <w:color w:val="000000" w:themeColor="text1"/>
          <w:sz w:val="32"/>
          <w:szCs w:val="32"/>
          <w:lang w:val="en-US" w:eastAsia="zh-CN"/>
        </w:rPr>
        <w:t>注重培训实效，指导对接就业，做好培训效果转化跟踪服务，通过培训转化一批县域电商企业，带动一批电商从业人员。组织电子商务相关培训3000人（次）以上，培训转化率达3%以上。</w:t>
      </w:r>
    </w:p>
    <w:p>
      <w:pPr>
        <w:keepNext w:val="0"/>
        <w:keepLines w:val="0"/>
        <w:pageBreakBefore w:val="0"/>
        <w:widowControl w:val="0"/>
        <w:kinsoku/>
        <w:wordWrap/>
        <w:overflowPunct/>
        <w:topLinePunct w:val="0"/>
        <w:autoSpaceDE/>
        <w:autoSpaceDN/>
        <w:bidi w:val="0"/>
        <w:adjustRightInd/>
        <w:snapToGrid/>
        <w:spacing w:line="572" w:lineRule="atLeast"/>
        <w:ind w:left="0" w:firstLine="0" w:firstLineChars="0"/>
        <w:jc w:val="center"/>
        <w:textAlignment w:val="auto"/>
        <w:rPr>
          <w:rFonts w:hint="eastAsia" w:ascii="宋体" w:hAnsi="宋体" w:eastAsia="方正黑体简体"/>
          <w:color w:val="auto"/>
          <w:lang w:val="en-US" w:eastAsia="zh-CN"/>
        </w:rPr>
      </w:pPr>
      <w:r>
        <w:rPr>
          <w:rFonts w:hint="eastAsia" w:ascii="宋体" w:hAnsi="宋体" w:eastAsia="方正黑体简体"/>
          <w:color w:val="auto"/>
        </w:rPr>
        <w:t>第三章</w:t>
      </w:r>
      <w:r>
        <w:rPr>
          <w:rFonts w:hint="eastAsia" w:ascii="宋体" w:hAnsi="宋体" w:eastAsia="方正黑体简体"/>
          <w:color w:val="auto"/>
          <w:lang w:val="en-US" w:eastAsia="zh-CN"/>
        </w:rPr>
        <w:t xml:space="preserve"> 承办企业选择</w:t>
      </w:r>
    </w:p>
    <w:p>
      <w:pPr>
        <w:pStyle w:val="2"/>
        <w:rPr>
          <w:rFonts w:hint="default" w:ascii="宋体" w:hAnsi="宋体" w:eastAsia="方正仿宋简体" w:cs="Times New Roman"/>
          <w:color w:val="000000" w:themeColor="text1"/>
          <w:kern w:val="2"/>
          <w:sz w:val="32"/>
          <w:szCs w:val="32"/>
          <w:lang w:val="en-US" w:eastAsia="zh-CN" w:bidi="ar-SA"/>
        </w:rPr>
      </w:pPr>
      <w:r>
        <w:rPr>
          <w:rFonts w:hint="eastAsia" w:ascii="宋体" w:hAnsi="宋体" w:eastAsia="方正黑体简体"/>
          <w:color w:val="auto"/>
          <w:lang w:val="en-US" w:eastAsia="zh-CN"/>
        </w:rPr>
        <w:t xml:space="preserve">第八条 </w:t>
      </w:r>
      <w:r>
        <w:rPr>
          <w:rFonts w:hint="eastAsia" w:ascii="宋体" w:hAnsi="宋体" w:eastAsia="方正仿宋简体" w:cs="Times New Roman"/>
          <w:color w:val="000000" w:themeColor="text1"/>
          <w:kern w:val="2"/>
          <w:sz w:val="32"/>
          <w:szCs w:val="32"/>
          <w:lang w:val="en-US" w:eastAsia="zh-CN" w:bidi="ar-SA"/>
        </w:rPr>
        <w:t>通过政府采购方式确定项目实施主体的，承为企业选择按照第九条、第十条执行，补助类项目按照相关管理办法执行。</w:t>
      </w:r>
    </w:p>
    <w:p>
      <w:pPr>
        <w:keepNext w:val="0"/>
        <w:keepLines w:val="0"/>
        <w:pageBreakBefore w:val="0"/>
        <w:widowControl w:val="0"/>
        <w:kinsoku/>
        <w:wordWrap/>
        <w:overflowPunct/>
        <w:topLinePunct w:val="0"/>
        <w:autoSpaceDE/>
        <w:autoSpaceDN/>
        <w:bidi w:val="0"/>
        <w:adjustRightInd/>
        <w:snapToGrid/>
        <w:spacing w:line="572" w:lineRule="atLeast"/>
        <w:ind w:left="0" w:firstLine="643"/>
        <w:textAlignment w:val="auto"/>
        <w:rPr>
          <w:rFonts w:hint="eastAsia" w:ascii="宋体" w:hAnsi="宋体" w:eastAsia="方正仿宋简体" w:cs="Times New Roman"/>
          <w:color w:val="auto"/>
        </w:rPr>
      </w:pPr>
      <w:r>
        <w:rPr>
          <w:rFonts w:hint="eastAsia" w:ascii="宋体" w:hAnsi="宋体" w:eastAsia="方正仿宋简体" w:cs="Times New Roman"/>
          <w:color w:val="auto"/>
          <w:lang w:val="en-US" w:eastAsia="zh-CN"/>
        </w:rPr>
        <w:t xml:space="preserve"> </w:t>
      </w:r>
      <w:r>
        <w:rPr>
          <w:rFonts w:hint="eastAsia" w:ascii="宋体" w:hAnsi="宋体" w:eastAsia="方正黑体简体"/>
          <w:color w:val="auto"/>
          <w:lang w:val="en-US" w:eastAsia="zh-CN"/>
        </w:rPr>
        <w:t xml:space="preserve">第九条 </w:t>
      </w:r>
      <w:r>
        <w:rPr>
          <w:rFonts w:hint="eastAsia" w:ascii="宋体" w:hAnsi="宋体" w:eastAsia="方正仿宋简体" w:cs="Times New Roman"/>
          <w:color w:val="auto"/>
        </w:rPr>
        <w:t>本着“公平、规范、择优”的原则选择项目承办企业，严格遵守政府采购程序，符合财政资金相关管理规定。选择承办企业时可结合本地实际情况，灵活选择整体打包、分区域打包或分项目打包等多种方式。</w:t>
      </w:r>
    </w:p>
    <w:p>
      <w:pPr>
        <w:keepNext w:val="0"/>
        <w:keepLines w:val="0"/>
        <w:pageBreakBefore w:val="0"/>
        <w:widowControl w:val="0"/>
        <w:kinsoku/>
        <w:wordWrap/>
        <w:overflowPunct/>
        <w:topLinePunct w:val="0"/>
        <w:autoSpaceDE/>
        <w:autoSpaceDN/>
        <w:bidi w:val="0"/>
        <w:adjustRightInd/>
        <w:snapToGrid/>
        <w:spacing w:line="572" w:lineRule="atLeast"/>
        <w:ind w:left="0"/>
        <w:textAlignment w:val="auto"/>
        <w:rPr>
          <w:rFonts w:hint="default" w:ascii="宋体" w:hAnsi="宋体" w:eastAsia="方正仿宋简体"/>
          <w:color w:val="auto"/>
          <w:lang w:val="en-US" w:eastAsia="zh-CN"/>
        </w:rPr>
      </w:pPr>
      <w:r>
        <w:rPr>
          <w:rFonts w:hint="eastAsia" w:ascii="宋体" w:hAnsi="宋体" w:eastAsia="方正黑体简体"/>
          <w:color w:val="auto"/>
        </w:rPr>
        <w:t>第</w:t>
      </w:r>
      <w:r>
        <w:rPr>
          <w:rFonts w:hint="eastAsia" w:ascii="宋体" w:hAnsi="宋体" w:eastAsia="方正黑体简体"/>
          <w:color w:val="auto"/>
          <w:lang w:val="en-US" w:eastAsia="zh-CN"/>
        </w:rPr>
        <w:t>十</w:t>
      </w:r>
      <w:r>
        <w:rPr>
          <w:rFonts w:hint="eastAsia" w:ascii="宋体" w:hAnsi="宋体" w:eastAsia="方正黑体简体"/>
          <w:color w:val="auto"/>
        </w:rPr>
        <w:t>条</w:t>
      </w:r>
      <w:r>
        <w:rPr>
          <w:rFonts w:ascii="宋体" w:hAnsi="宋体" w:eastAsia="方正黑体简体"/>
          <w:color w:val="auto"/>
        </w:rPr>
        <w:t xml:space="preserve"> </w:t>
      </w:r>
      <w:r>
        <w:rPr>
          <w:rFonts w:hint="eastAsia" w:ascii="宋体" w:hAnsi="宋体" w:eastAsia="方正仿宋简体"/>
          <w:color w:val="auto"/>
        </w:rPr>
        <w:t>按有关法律法规规定和程序完成招投标，并按照规定在政府网站公示项目及承办单位（企业），公示无异议后组织实施，县级实施项目报州级相关部门备案。</w:t>
      </w:r>
      <w:r>
        <w:rPr>
          <w:rFonts w:hint="eastAsia" w:ascii="宋体" w:hAnsi="宋体" w:eastAsia="方正仿宋简体"/>
          <w:color w:val="auto"/>
          <w:lang w:val="en-US" w:eastAsia="zh-CN"/>
        </w:rPr>
        <w:t>招标后出现的结余资金，经领导小组办公室研究批准后，可继续用于相关项目。</w:t>
      </w:r>
    </w:p>
    <w:p>
      <w:pPr>
        <w:keepNext w:val="0"/>
        <w:keepLines w:val="0"/>
        <w:pageBreakBefore w:val="0"/>
        <w:widowControl w:val="0"/>
        <w:kinsoku/>
        <w:wordWrap/>
        <w:overflowPunct/>
        <w:topLinePunct w:val="0"/>
        <w:autoSpaceDE/>
        <w:autoSpaceDN/>
        <w:bidi w:val="0"/>
        <w:adjustRightInd/>
        <w:snapToGrid/>
        <w:spacing w:line="572" w:lineRule="atLeast"/>
        <w:ind w:left="0" w:firstLine="0" w:firstLineChars="0"/>
        <w:jc w:val="center"/>
        <w:textAlignment w:val="auto"/>
        <w:rPr>
          <w:rFonts w:ascii="宋体" w:hAnsi="宋体" w:eastAsia="方正黑体简体"/>
          <w:color w:val="auto"/>
        </w:rPr>
      </w:pPr>
      <w:r>
        <w:rPr>
          <w:rFonts w:hint="eastAsia" w:ascii="宋体" w:hAnsi="宋体" w:eastAsia="方正黑体简体"/>
          <w:color w:val="auto"/>
        </w:rPr>
        <w:t>第四章</w:t>
      </w:r>
      <w:r>
        <w:rPr>
          <w:rFonts w:ascii="宋体" w:hAnsi="宋体" w:eastAsia="方正黑体简体"/>
          <w:color w:val="auto"/>
        </w:rPr>
        <w:t xml:space="preserve"> </w:t>
      </w:r>
      <w:r>
        <w:rPr>
          <w:rFonts w:hint="eastAsia" w:ascii="宋体" w:hAnsi="宋体" w:eastAsia="方正黑体简体"/>
          <w:color w:val="auto"/>
        </w:rPr>
        <w:t>项目的验收与资金拨付</w:t>
      </w:r>
    </w:p>
    <w:p>
      <w:pPr>
        <w:keepNext w:val="0"/>
        <w:keepLines w:val="0"/>
        <w:pageBreakBefore w:val="0"/>
        <w:widowControl w:val="0"/>
        <w:kinsoku/>
        <w:wordWrap/>
        <w:overflowPunct/>
        <w:topLinePunct w:val="0"/>
        <w:autoSpaceDE/>
        <w:autoSpaceDN/>
        <w:bidi w:val="0"/>
        <w:adjustRightInd/>
        <w:snapToGrid/>
        <w:spacing w:line="572" w:lineRule="atLeast"/>
        <w:ind w:left="0"/>
        <w:textAlignment w:val="auto"/>
        <w:rPr>
          <w:rFonts w:ascii="宋体" w:hAnsi="宋体" w:eastAsia="方正仿宋简体"/>
          <w:color w:val="auto"/>
        </w:rPr>
      </w:pPr>
      <w:r>
        <w:rPr>
          <w:rFonts w:hint="eastAsia" w:ascii="宋体" w:hAnsi="宋体" w:eastAsia="方正黑体简体"/>
          <w:color w:val="auto"/>
        </w:rPr>
        <w:t>第十</w:t>
      </w:r>
      <w:r>
        <w:rPr>
          <w:rFonts w:hint="eastAsia" w:ascii="宋体" w:hAnsi="宋体" w:eastAsia="方正黑体简体"/>
          <w:color w:val="auto"/>
          <w:lang w:val="en-US" w:eastAsia="zh-CN"/>
        </w:rPr>
        <w:t>一</w:t>
      </w:r>
      <w:r>
        <w:rPr>
          <w:rFonts w:hint="eastAsia" w:ascii="宋体" w:hAnsi="宋体" w:eastAsia="方正黑体简体"/>
          <w:color w:val="auto"/>
        </w:rPr>
        <w:t>条</w:t>
      </w:r>
      <w:r>
        <w:rPr>
          <w:rFonts w:hint="eastAsia" w:ascii="宋体" w:hAnsi="宋体" w:eastAsia="方正仿宋简体" w:cs="方正仿宋简体"/>
          <w:b/>
          <w:bCs/>
          <w:color w:val="auto"/>
        </w:rPr>
        <w:t xml:space="preserve"> </w:t>
      </w:r>
      <w:r>
        <w:rPr>
          <w:rFonts w:hint="eastAsia" w:ascii="宋体" w:hAnsi="宋体" w:eastAsia="方正仿宋简体"/>
          <w:color w:val="auto"/>
          <w:lang w:val="en-US" w:eastAsia="zh-CN"/>
        </w:rPr>
        <w:t>项目验收。</w:t>
      </w:r>
      <w:r>
        <w:rPr>
          <w:rFonts w:hint="eastAsia" w:ascii="宋体" w:hAnsi="宋体" w:eastAsia="方正仿宋简体"/>
          <w:color w:val="auto"/>
        </w:rPr>
        <w:t>承办单位（企业）项目实施完成后，通过绩效评价的项目，向县电子商务进农村工作领导小组办公室提交验收资料。县领导小组办公室严格按有关程序和实施方案，采取查阅资料和实地查验的方式组织分项验收</w:t>
      </w:r>
      <w:r>
        <w:rPr>
          <w:rFonts w:hint="eastAsia" w:ascii="宋体" w:hAnsi="宋体" w:eastAsia="方正仿宋简体"/>
          <w:color w:val="auto"/>
          <w:lang w:eastAsia="zh-CN"/>
        </w:rPr>
        <w:t>，</w:t>
      </w:r>
      <w:r>
        <w:rPr>
          <w:rFonts w:hint="eastAsia" w:ascii="宋体" w:hAnsi="宋体" w:eastAsia="方正仿宋简体"/>
          <w:color w:val="auto"/>
        </w:rPr>
        <w:t>确保项目执行效果和示范目标的实现，对验收不合格的项目，将视情况给予整改或收回中央资金处理。</w:t>
      </w:r>
    </w:p>
    <w:p>
      <w:pPr>
        <w:keepNext w:val="0"/>
        <w:keepLines w:val="0"/>
        <w:pageBreakBefore w:val="0"/>
        <w:widowControl w:val="0"/>
        <w:kinsoku/>
        <w:wordWrap/>
        <w:overflowPunct/>
        <w:topLinePunct w:val="0"/>
        <w:autoSpaceDE/>
        <w:autoSpaceDN/>
        <w:bidi w:val="0"/>
        <w:adjustRightInd/>
        <w:snapToGrid/>
        <w:spacing w:line="572" w:lineRule="atLeast"/>
        <w:ind w:left="0"/>
        <w:textAlignment w:val="auto"/>
        <w:rPr>
          <w:rFonts w:ascii="宋体" w:hAnsi="宋体" w:eastAsia="方正仿宋简体"/>
          <w:color w:val="auto"/>
        </w:rPr>
      </w:pPr>
      <w:r>
        <w:rPr>
          <w:rFonts w:hint="eastAsia" w:ascii="宋体" w:hAnsi="宋体" w:eastAsia="方正黑体简体"/>
          <w:color w:val="auto"/>
        </w:rPr>
        <w:t>第十</w:t>
      </w:r>
      <w:r>
        <w:rPr>
          <w:rFonts w:hint="eastAsia" w:ascii="宋体" w:hAnsi="宋体" w:eastAsia="方正黑体简体"/>
          <w:color w:val="auto"/>
          <w:lang w:val="en-US" w:eastAsia="zh-CN"/>
        </w:rPr>
        <w:t>二</w:t>
      </w:r>
      <w:r>
        <w:rPr>
          <w:rFonts w:hint="eastAsia" w:ascii="宋体" w:hAnsi="宋体" w:eastAsia="方正黑体简体"/>
          <w:color w:val="auto"/>
        </w:rPr>
        <w:t>条</w:t>
      </w:r>
      <w:r>
        <w:rPr>
          <w:rFonts w:ascii="宋体" w:hAnsi="宋体" w:eastAsia="方正黑体简体"/>
          <w:color w:val="auto"/>
        </w:rPr>
        <w:t xml:space="preserve"> </w:t>
      </w:r>
      <w:r>
        <w:rPr>
          <w:rFonts w:hint="eastAsia" w:ascii="宋体" w:hAnsi="宋体" w:eastAsia="方正仿宋简体"/>
          <w:color w:val="auto"/>
        </w:rPr>
        <w:t>项目资金拨付。根据本办法及各县项目和资金管理细则，按照预算管理及国库集中支付制度等有关规定拨付项目资金。为确保资金安全，原则上根据项目实施进度拨付项目资金，即：项目启动建设后，预拨不超过支持总额</w:t>
      </w:r>
      <w:r>
        <w:rPr>
          <w:rFonts w:ascii="宋体" w:hAnsi="宋体" w:eastAsia="方正仿宋简体"/>
          <w:color w:val="auto"/>
        </w:rPr>
        <w:t>20%</w:t>
      </w:r>
      <w:r>
        <w:rPr>
          <w:rFonts w:hint="eastAsia" w:ascii="宋体" w:hAnsi="宋体" w:eastAsia="方正仿宋简体"/>
          <w:color w:val="auto"/>
        </w:rPr>
        <w:t>的资金；项目中期评估达到预期目标的，累计拨付资金不得超过</w:t>
      </w:r>
      <w:r>
        <w:rPr>
          <w:rFonts w:hint="eastAsia" w:ascii="宋体" w:hAnsi="宋体" w:eastAsia="方正仿宋简体"/>
          <w:color w:val="auto"/>
          <w:lang w:eastAsia="zh-CN"/>
        </w:rPr>
        <w:t>支持</w:t>
      </w:r>
      <w:r>
        <w:rPr>
          <w:rFonts w:hint="eastAsia" w:ascii="宋体" w:hAnsi="宋体" w:eastAsia="方正仿宋简体"/>
          <w:color w:val="auto"/>
        </w:rPr>
        <w:t>总额的</w:t>
      </w:r>
      <w:r>
        <w:rPr>
          <w:rFonts w:ascii="宋体" w:hAnsi="宋体" w:eastAsia="方正仿宋简体"/>
          <w:color w:val="auto"/>
        </w:rPr>
        <w:t>60%</w:t>
      </w:r>
      <w:r>
        <w:rPr>
          <w:rFonts w:hint="eastAsia" w:ascii="宋体" w:hAnsi="宋体" w:eastAsia="方正仿宋简体"/>
          <w:color w:val="auto"/>
        </w:rPr>
        <w:t>；项目通过最终评价后，累计拨付资金不得超过支持总额的</w:t>
      </w:r>
      <w:r>
        <w:rPr>
          <w:rFonts w:ascii="宋体" w:hAnsi="宋体" w:eastAsia="方正仿宋简体"/>
          <w:color w:val="auto"/>
        </w:rPr>
        <w:t>80%</w:t>
      </w:r>
      <w:r>
        <w:rPr>
          <w:rFonts w:hint="eastAsia" w:ascii="宋体" w:hAnsi="宋体" w:eastAsia="方正仿宋简体"/>
          <w:color w:val="auto"/>
        </w:rPr>
        <w:t>；项目验收合格</w:t>
      </w:r>
      <w:r>
        <w:rPr>
          <w:rFonts w:hint="eastAsia" w:ascii="宋体" w:hAnsi="宋体" w:eastAsia="方正仿宋简体"/>
          <w:color w:val="auto"/>
          <w:lang w:val="en-US" w:eastAsia="zh-CN"/>
        </w:rPr>
        <w:t>前</w:t>
      </w:r>
      <w:r>
        <w:rPr>
          <w:rFonts w:hint="eastAsia" w:ascii="宋体" w:hAnsi="宋体" w:eastAsia="方正仿宋简体"/>
          <w:color w:val="auto"/>
        </w:rPr>
        <w:t>，累计拨付资金不得超过支持总额的</w:t>
      </w:r>
      <w:r>
        <w:rPr>
          <w:rFonts w:ascii="宋体" w:hAnsi="宋体" w:eastAsia="方正仿宋简体"/>
          <w:color w:val="auto"/>
        </w:rPr>
        <w:t>95%</w:t>
      </w:r>
      <w:r>
        <w:rPr>
          <w:rFonts w:hint="eastAsia" w:ascii="宋体" w:hAnsi="宋体" w:eastAsia="方正仿宋简体"/>
          <w:color w:val="auto"/>
          <w:lang w:eastAsia="zh-CN"/>
        </w:rPr>
        <w:t>，</w:t>
      </w:r>
      <w:r>
        <w:rPr>
          <w:rFonts w:hint="eastAsia" w:ascii="宋体" w:hAnsi="宋体" w:eastAsia="方正仿宋简体"/>
          <w:color w:val="auto"/>
        </w:rPr>
        <w:t>其余</w:t>
      </w:r>
      <w:r>
        <w:rPr>
          <w:rFonts w:ascii="宋体" w:hAnsi="宋体" w:eastAsia="方正仿宋简体"/>
          <w:color w:val="auto"/>
        </w:rPr>
        <w:t>5%</w:t>
      </w:r>
      <w:r>
        <w:rPr>
          <w:rFonts w:hint="eastAsia" w:ascii="宋体" w:hAnsi="宋体" w:eastAsia="方正仿宋简体"/>
          <w:color w:val="auto"/>
        </w:rPr>
        <w:t>的资金作为保证金，经营服务期满后，一次拨付。州县财政部门、商务部门和扶贫部门要定期、不定期对专项资金使用情况开展督查，确保专款专用。</w:t>
      </w:r>
    </w:p>
    <w:p>
      <w:pPr>
        <w:keepNext w:val="0"/>
        <w:keepLines w:val="0"/>
        <w:pageBreakBefore w:val="0"/>
        <w:widowControl w:val="0"/>
        <w:kinsoku/>
        <w:wordWrap/>
        <w:overflowPunct/>
        <w:topLinePunct w:val="0"/>
        <w:autoSpaceDE/>
        <w:autoSpaceDN/>
        <w:bidi w:val="0"/>
        <w:adjustRightInd/>
        <w:snapToGrid/>
        <w:spacing w:line="572" w:lineRule="atLeast"/>
        <w:ind w:left="0"/>
        <w:textAlignment w:val="auto"/>
        <w:rPr>
          <w:rFonts w:ascii="宋体" w:hAnsi="宋体" w:eastAsia="方正仿宋简体"/>
          <w:color w:val="auto"/>
        </w:rPr>
      </w:pPr>
      <w:r>
        <w:rPr>
          <w:rFonts w:hint="eastAsia" w:ascii="宋体" w:hAnsi="宋体" w:eastAsia="方正黑体简体"/>
          <w:color w:val="auto"/>
        </w:rPr>
        <w:t>第十</w:t>
      </w:r>
      <w:r>
        <w:rPr>
          <w:rFonts w:hint="eastAsia" w:ascii="宋体" w:hAnsi="宋体" w:eastAsia="方正黑体简体"/>
          <w:color w:val="auto"/>
          <w:lang w:val="en-US" w:eastAsia="zh-CN"/>
        </w:rPr>
        <w:t>三</w:t>
      </w:r>
      <w:r>
        <w:rPr>
          <w:rFonts w:hint="eastAsia" w:ascii="宋体" w:hAnsi="宋体" w:eastAsia="方正黑体简体"/>
          <w:color w:val="auto"/>
        </w:rPr>
        <w:t>条</w:t>
      </w:r>
      <w:r>
        <w:rPr>
          <w:rFonts w:ascii="宋体" w:hAnsi="宋体" w:eastAsia="方正黑体简体"/>
          <w:color w:val="auto"/>
        </w:rPr>
        <w:t xml:space="preserve"> </w:t>
      </w:r>
      <w:r>
        <w:rPr>
          <w:rFonts w:hint="eastAsia" w:ascii="宋体" w:hAnsi="宋体" w:eastAsia="方正仿宋简体"/>
          <w:color w:val="auto"/>
        </w:rPr>
        <w:t>获得专项资金支持的项目承办单位（企业）不得随意调整项目，如有特殊情况确需调整的，需报县电子商务进农村工作领导小组</w:t>
      </w:r>
      <w:r>
        <w:rPr>
          <w:rFonts w:hint="eastAsia" w:ascii="宋体" w:hAnsi="宋体" w:eastAsia="方正仿宋简体"/>
          <w:color w:val="auto"/>
          <w:lang w:val="en-US" w:eastAsia="zh-CN"/>
        </w:rPr>
        <w:t>办公室</w:t>
      </w:r>
      <w:r>
        <w:rPr>
          <w:rFonts w:hint="eastAsia" w:ascii="宋体" w:hAnsi="宋体" w:eastAsia="方正仿宋简体"/>
          <w:color w:val="auto"/>
        </w:rPr>
        <w:t>同意后方可调整。因项目调整导致财政资金出现结余的，由项目实施单位将结余资金按原渠道退回。</w:t>
      </w:r>
    </w:p>
    <w:p>
      <w:pPr>
        <w:keepNext w:val="0"/>
        <w:keepLines w:val="0"/>
        <w:pageBreakBefore w:val="0"/>
        <w:widowControl w:val="0"/>
        <w:kinsoku/>
        <w:wordWrap/>
        <w:overflowPunct/>
        <w:topLinePunct w:val="0"/>
        <w:autoSpaceDE/>
        <w:autoSpaceDN/>
        <w:bidi w:val="0"/>
        <w:adjustRightInd/>
        <w:snapToGrid/>
        <w:spacing w:line="572" w:lineRule="atLeast"/>
        <w:ind w:left="0"/>
        <w:textAlignment w:val="auto"/>
        <w:rPr>
          <w:rFonts w:ascii="宋体" w:hAnsi="宋体" w:eastAsia="方正仿宋简体"/>
          <w:color w:val="auto"/>
        </w:rPr>
      </w:pPr>
      <w:r>
        <w:rPr>
          <w:rFonts w:hint="eastAsia" w:ascii="宋体" w:hAnsi="宋体" w:eastAsia="方正黑体简体"/>
          <w:color w:val="auto"/>
        </w:rPr>
        <w:t>第</w:t>
      </w:r>
      <w:r>
        <w:rPr>
          <w:rFonts w:hint="eastAsia" w:ascii="宋体" w:hAnsi="宋体" w:eastAsia="方正黑体简体"/>
          <w:color w:val="auto"/>
          <w:lang w:val="en-US" w:eastAsia="zh-CN"/>
        </w:rPr>
        <w:t>十四</w:t>
      </w:r>
      <w:r>
        <w:rPr>
          <w:rFonts w:hint="eastAsia" w:ascii="宋体" w:hAnsi="宋体" w:eastAsia="方正黑体简体"/>
          <w:color w:val="auto"/>
        </w:rPr>
        <w:t>条</w:t>
      </w:r>
      <w:r>
        <w:rPr>
          <w:rFonts w:ascii="宋体" w:hAnsi="宋体" w:eastAsia="方正仿宋简体"/>
          <w:color w:val="auto"/>
        </w:rPr>
        <w:t xml:space="preserve"> </w:t>
      </w:r>
      <w:r>
        <w:rPr>
          <w:rFonts w:hint="eastAsia" w:ascii="宋体" w:hAnsi="宋体" w:eastAsia="方正仿宋简体"/>
          <w:color w:val="auto"/>
          <w:lang w:val="en-US" w:eastAsia="zh-CN"/>
        </w:rPr>
        <w:t>财政资金支持投入</w:t>
      </w:r>
      <w:r>
        <w:rPr>
          <w:rFonts w:hint="eastAsia" w:ascii="宋体" w:hAnsi="宋体" w:eastAsia="方正仿宋简体"/>
          <w:color w:val="auto"/>
        </w:rPr>
        <w:t>形成的设施、设备、</w:t>
      </w:r>
      <w:r>
        <w:rPr>
          <w:rFonts w:hint="eastAsia" w:ascii="宋体" w:hAnsi="宋体" w:eastAsia="方正仿宋简体"/>
          <w:color w:val="auto"/>
          <w:lang w:val="en-US" w:eastAsia="zh-CN"/>
        </w:rPr>
        <w:t>区域公共品牌及商标、</w:t>
      </w:r>
      <w:r>
        <w:rPr>
          <w:rFonts w:hint="eastAsia" w:ascii="宋体" w:hAnsi="宋体" w:eastAsia="方正仿宋简体"/>
          <w:color w:val="auto"/>
        </w:rPr>
        <w:t>信息集成系统和软件等属政府所有，由领导小组办公室委托承办企业管理。属政府所有的资产处置按照行政事业单位固定资产管理相关办法执行。</w:t>
      </w:r>
    </w:p>
    <w:p>
      <w:pPr>
        <w:keepNext w:val="0"/>
        <w:keepLines w:val="0"/>
        <w:pageBreakBefore w:val="0"/>
        <w:widowControl w:val="0"/>
        <w:kinsoku/>
        <w:wordWrap/>
        <w:overflowPunct/>
        <w:topLinePunct w:val="0"/>
        <w:autoSpaceDE/>
        <w:autoSpaceDN/>
        <w:bidi w:val="0"/>
        <w:adjustRightInd/>
        <w:snapToGrid/>
        <w:spacing w:line="572" w:lineRule="atLeast"/>
        <w:ind w:left="0" w:firstLine="0" w:firstLineChars="0"/>
        <w:jc w:val="center"/>
        <w:textAlignment w:val="auto"/>
        <w:rPr>
          <w:rFonts w:ascii="宋体" w:hAnsi="宋体" w:eastAsia="方正黑体简体"/>
          <w:color w:val="auto"/>
        </w:rPr>
      </w:pPr>
      <w:r>
        <w:rPr>
          <w:rFonts w:hint="eastAsia" w:ascii="宋体" w:hAnsi="宋体" w:eastAsia="方正黑体简体"/>
          <w:color w:val="auto"/>
        </w:rPr>
        <w:t>第五章</w:t>
      </w:r>
      <w:r>
        <w:rPr>
          <w:rFonts w:ascii="宋体" w:hAnsi="宋体" w:eastAsia="方正黑体简体"/>
          <w:color w:val="auto"/>
        </w:rPr>
        <w:t xml:space="preserve"> </w:t>
      </w:r>
      <w:r>
        <w:rPr>
          <w:rFonts w:hint="eastAsia" w:ascii="宋体" w:hAnsi="宋体" w:eastAsia="方正黑体简体"/>
          <w:color w:val="auto"/>
        </w:rPr>
        <w:t>工作职责和监督管理</w:t>
      </w:r>
    </w:p>
    <w:p>
      <w:pPr>
        <w:keepNext w:val="0"/>
        <w:keepLines w:val="0"/>
        <w:pageBreakBefore w:val="0"/>
        <w:widowControl w:val="0"/>
        <w:kinsoku/>
        <w:wordWrap/>
        <w:overflowPunct/>
        <w:topLinePunct w:val="0"/>
        <w:autoSpaceDE/>
        <w:autoSpaceDN/>
        <w:bidi w:val="0"/>
        <w:adjustRightInd/>
        <w:snapToGrid/>
        <w:spacing w:line="572" w:lineRule="atLeast"/>
        <w:ind w:left="0"/>
        <w:textAlignment w:val="auto"/>
        <w:rPr>
          <w:rFonts w:ascii="宋体" w:hAnsi="宋体" w:eastAsia="方正仿宋简体"/>
          <w:color w:val="auto"/>
        </w:rPr>
      </w:pPr>
      <w:r>
        <w:rPr>
          <w:rFonts w:hint="eastAsia" w:ascii="宋体" w:hAnsi="宋体" w:eastAsia="方正黑体简体"/>
          <w:color w:val="auto"/>
        </w:rPr>
        <w:t>第十</w:t>
      </w:r>
      <w:r>
        <w:rPr>
          <w:rFonts w:hint="eastAsia" w:ascii="宋体" w:hAnsi="宋体" w:eastAsia="方正黑体简体"/>
          <w:color w:val="auto"/>
          <w:lang w:val="en-US" w:eastAsia="zh-CN"/>
        </w:rPr>
        <w:t>五</w:t>
      </w:r>
      <w:r>
        <w:rPr>
          <w:rFonts w:hint="eastAsia" w:ascii="宋体" w:hAnsi="宋体" w:eastAsia="方正黑体简体"/>
          <w:color w:val="auto"/>
        </w:rPr>
        <w:t>条</w:t>
      </w:r>
      <w:r>
        <w:rPr>
          <w:rFonts w:ascii="宋体" w:hAnsi="宋体" w:eastAsia="方正黑体简体"/>
          <w:color w:val="auto"/>
        </w:rPr>
        <w:t xml:space="preserve"> </w:t>
      </w:r>
      <w:r>
        <w:rPr>
          <w:rFonts w:hint="eastAsia" w:ascii="宋体" w:hAnsi="宋体" w:eastAsia="方正仿宋简体"/>
          <w:color w:val="auto"/>
        </w:rPr>
        <w:t>商务部门负责项目的发展规划、综合协调、统筹推进和行业指导，做好项目预算编制、管理和执行，组织项目申报、审核、实施、管理和督促检查、跟踪问效，会同财政部门和扶贫部门下达项目及项目资金计划，开展绩效评价工作，并及时向有关部门通报情况。</w:t>
      </w:r>
    </w:p>
    <w:p>
      <w:pPr>
        <w:keepNext w:val="0"/>
        <w:keepLines w:val="0"/>
        <w:pageBreakBefore w:val="0"/>
        <w:widowControl w:val="0"/>
        <w:kinsoku/>
        <w:wordWrap/>
        <w:overflowPunct/>
        <w:topLinePunct w:val="0"/>
        <w:autoSpaceDE/>
        <w:autoSpaceDN/>
        <w:bidi w:val="0"/>
        <w:adjustRightInd/>
        <w:snapToGrid/>
        <w:spacing w:line="572" w:lineRule="atLeast"/>
        <w:ind w:left="0"/>
        <w:textAlignment w:val="auto"/>
        <w:rPr>
          <w:rFonts w:ascii="宋体" w:hAnsi="宋体" w:eastAsia="方正仿宋简体"/>
          <w:color w:val="auto"/>
        </w:rPr>
      </w:pPr>
      <w:r>
        <w:rPr>
          <w:rFonts w:hint="eastAsia" w:ascii="宋体" w:hAnsi="宋体" w:eastAsia="方正黑体简体"/>
          <w:color w:val="auto"/>
        </w:rPr>
        <w:t>第十</w:t>
      </w:r>
      <w:r>
        <w:rPr>
          <w:rFonts w:hint="eastAsia" w:ascii="宋体" w:hAnsi="宋体" w:eastAsia="方正黑体简体"/>
          <w:color w:val="auto"/>
          <w:lang w:val="en-US" w:eastAsia="zh-CN"/>
        </w:rPr>
        <w:t>六</w:t>
      </w:r>
      <w:r>
        <w:rPr>
          <w:rFonts w:hint="eastAsia" w:ascii="宋体" w:hAnsi="宋体" w:eastAsia="方正黑体简体"/>
          <w:color w:val="auto"/>
        </w:rPr>
        <w:t>条</w:t>
      </w:r>
      <w:r>
        <w:rPr>
          <w:rFonts w:ascii="宋体" w:hAnsi="宋体" w:eastAsia="方正黑体简体"/>
          <w:color w:val="auto"/>
        </w:rPr>
        <w:t xml:space="preserve"> </w:t>
      </w:r>
      <w:r>
        <w:rPr>
          <w:rFonts w:hint="eastAsia" w:ascii="宋体" w:hAnsi="宋体" w:eastAsia="方正仿宋简体"/>
          <w:color w:val="auto"/>
        </w:rPr>
        <w:t>财政部门负责专项资金预算的审核、安排，配合州、县商务部门下达项目及资金计划，按国库管理有关规定拨付资金，会同商务部门和扶贫部门对专项资金使用情况进行监督检查，组织有关部门和单位开展绩效评价。</w:t>
      </w:r>
    </w:p>
    <w:p>
      <w:pPr>
        <w:keepNext w:val="0"/>
        <w:keepLines w:val="0"/>
        <w:pageBreakBefore w:val="0"/>
        <w:widowControl w:val="0"/>
        <w:kinsoku/>
        <w:wordWrap/>
        <w:overflowPunct/>
        <w:topLinePunct w:val="0"/>
        <w:autoSpaceDE/>
        <w:autoSpaceDN/>
        <w:bidi w:val="0"/>
        <w:adjustRightInd/>
        <w:snapToGrid/>
        <w:spacing w:line="572" w:lineRule="atLeast"/>
        <w:ind w:left="0"/>
        <w:textAlignment w:val="auto"/>
        <w:rPr>
          <w:rFonts w:ascii="宋体" w:hAnsi="宋体" w:eastAsia="方正仿宋简体"/>
          <w:color w:val="auto"/>
        </w:rPr>
      </w:pPr>
      <w:r>
        <w:rPr>
          <w:rFonts w:hint="eastAsia" w:ascii="宋体" w:hAnsi="宋体" w:eastAsia="方正黑体简体"/>
          <w:color w:val="auto"/>
        </w:rPr>
        <w:t>第十</w:t>
      </w:r>
      <w:r>
        <w:rPr>
          <w:rFonts w:hint="eastAsia" w:ascii="宋体" w:hAnsi="宋体" w:eastAsia="方正黑体简体"/>
          <w:color w:val="auto"/>
          <w:lang w:val="en-US" w:eastAsia="zh-CN"/>
        </w:rPr>
        <w:t>七</w:t>
      </w:r>
      <w:r>
        <w:rPr>
          <w:rFonts w:hint="eastAsia" w:ascii="宋体" w:hAnsi="宋体" w:eastAsia="方正黑体简体"/>
          <w:color w:val="auto"/>
        </w:rPr>
        <w:t>条</w:t>
      </w:r>
      <w:r>
        <w:rPr>
          <w:rFonts w:ascii="宋体" w:hAnsi="宋体" w:eastAsia="方正黑体简体"/>
          <w:color w:val="auto"/>
        </w:rPr>
        <w:t xml:space="preserve"> </w:t>
      </w:r>
      <w:r>
        <w:rPr>
          <w:rFonts w:hint="eastAsia" w:ascii="宋体" w:hAnsi="宋体" w:eastAsia="方正仿宋简体"/>
          <w:color w:val="auto"/>
        </w:rPr>
        <w:t>扶贫部门负责电子商务精准扶贫规划，组织建档立卡贫困户参加电子商务培训，促进建档立卡贫困人口通过电子商务创业就业，组织扶贫产品开发，促进建档立卡贫困户农产品上行，负责电子商务精准扶贫相关数据统计分析，会同商务部门和财政部门对项目及专项资金使用情况进行监督检查与绩效评价。</w:t>
      </w:r>
    </w:p>
    <w:p>
      <w:pPr>
        <w:keepNext w:val="0"/>
        <w:keepLines w:val="0"/>
        <w:pageBreakBefore w:val="0"/>
        <w:widowControl w:val="0"/>
        <w:kinsoku/>
        <w:wordWrap/>
        <w:overflowPunct/>
        <w:topLinePunct w:val="0"/>
        <w:autoSpaceDE/>
        <w:autoSpaceDN/>
        <w:bidi w:val="0"/>
        <w:adjustRightInd/>
        <w:snapToGrid/>
        <w:spacing w:line="572" w:lineRule="atLeast"/>
        <w:ind w:left="0"/>
        <w:textAlignment w:val="auto"/>
        <w:rPr>
          <w:rFonts w:ascii="宋体" w:hAnsi="宋体" w:eastAsia="方正仿宋简体"/>
          <w:color w:val="auto"/>
        </w:rPr>
      </w:pPr>
      <w:r>
        <w:rPr>
          <w:rFonts w:hint="eastAsia" w:ascii="宋体" w:hAnsi="宋体" w:eastAsia="方正黑体简体"/>
          <w:color w:val="auto"/>
        </w:rPr>
        <w:t>第十</w:t>
      </w:r>
      <w:r>
        <w:rPr>
          <w:rFonts w:hint="eastAsia" w:ascii="宋体" w:hAnsi="宋体" w:eastAsia="方正黑体简体"/>
          <w:color w:val="auto"/>
          <w:lang w:val="en-US" w:eastAsia="zh-CN"/>
        </w:rPr>
        <w:t>八</w:t>
      </w:r>
      <w:r>
        <w:rPr>
          <w:rFonts w:hint="eastAsia" w:ascii="宋体" w:hAnsi="宋体" w:eastAsia="方正黑体简体"/>
          <w:color w:val="auto"/>
        </w:rPr>
        <w:t>条</w:t>
      </w:r>
      <w:r>
        <w:rPr>
          <w:rFonts w:ascii="宋体" w:hAnsi="宋体" w:eastAsia="方正黑体简体"/>
          <w:color w:val="auto"/>
        </w:rPr>
        <w:t xml:space="preserve"> </w:t>
      </w:r>
      <w:r>
        <w:rPr>
          <w:rFonts w:hint="eastAsia" w:ascii="宋体" w:hAnsi="宋体" w:eastAsia="方正仿宋简体"/>
          <w:color w:val="auto"/>
        </w:rPr>
        <w:t>项目承办单位（企业）必须健全财务管理机构，建立严格的财务管理制度，配备合格的财务管理人员，严格按规定使用资金，对专项资金进行专户管理（承建单位为企业的）和专账核算；制定项目投资预算，落实项目实施条件和配套资金，编制拟建项目绩效目标，负责项目具体实施，落实项目绩效目标；接受有关部门监督检查和验收，对项目开展绩效自评；按要求提供项目执行情况报告及相关材料，配合主管部门做好绩效管理相关工作。</w:t>
      </w:r>
    </w:p>
    <w:p>
      <w:pPr>
        <w:keepNext w:val="0"/>
        <w:keepLines w:val="0"/>
        <w:pageBreakBefore w:val="0"/>
        <w:widowControl w:val="0"/>
        <w:kinsoku/>
        <w:wordWrap/>
        <w:overflowPunct/>
        <w:topLinePunct w:val="0"/>
        <w:autoSpaceDE/>
        <w:autoSpaceDN/>
        <w:bidi w:val="0"/>
        <w:adjustRightInd/>
        <w:snapToGrid/>
        <w:spacing w:line="572" w:lineRule="atLeast"/>
        <w:ind w:left="0"/>
        <w:textAlignment w:val="auto"/>
        <w:rPr>
          <w:rFonts w:ascii="宋体" w:hAnsi="宋体" w:eastAsia="方正仿宋简体"/>
          <w:color w:val="auto"/>
        </w:rPr>
      </w:pPr>
      <w:r>
        <w:rPr>
          <w:rFonts w:hint="eastAsia" w:ascii="宋体" w:hAnsi="宋体" w:eastAsia="方正黑体简体"/>
          <w:color w:val="auto"/>
        </w:rPr>
        <w:t>第十</w:t>
      </w:r>
      <w:r>
        <w:rPr>
          <w:rFonts w:hint="eastAsia" w:ascii="宋体" w:hAnsi="宋体" w:eastAsia="方正黑体简体"/>
          <w:color w:val="auto"/>
          <w:lang w:val="en-US" w:eastAsia="zh-CN"/>
        </w:rPr>
        <w:t>九</w:t>
      </w:r>
      <w:r>
        <w:rPr>
          <w:rFonts w:hint="eastAsia" w:ascii="宋体" w:hAnsi="宋体" w:eastAsia="方正黑体简体"/>
          <w:color w:val="auto"/>
        </w:rPr>
        <w:t>条</w:t>
      </w:r>
      <w:r>
        <w:rPr>
          <w:rFonts w:ascii="宋体" w:hAnsi="宋体" w:eastAsia="方正黑体简体"/>
          <w:color w:val="auto"/>
        </w:rPr>
        <w:t xml:space="preserve"> </w:t>
      </w:r>
      <w:r>
        <w:rPr>
          <w:rFonts w:hint="eastAsia" w:ascii="宋体" w:hAnsi="宋体" w:eastAsia="方正仿宋简体"/>
          <w:color w:val="auto"/>
        </w:rPr>
        <w:t>专项资金必须专款专用，对违反规定使用的，一经查实，将全额追回已拨付款项，并取消该单位（企业）项目承建资格，三年内不得再申报财政资金扶持。对弄虚作假、截留、挪用、挤占专项资金的，按《财政违法行为处罚处分条例》（国务院令第</w:t>
      </w:r>
      <w:r>
        <w:rPr>
          <w:rFonts w:ascii="宋体" w:hAnsi="宋体" w:eastAsia="方正仿宋简体"/>
          <w:color w:val="auto"/>
        </w:rPr>
        <w:t>427</w:t>
      </w:r>
      <w:r>
        <w:rPr>
          <w:rFonts w:hint="eastAsia" w:ascii="宋体" w:hAnsi="宋体" w:eastAsia="方正仿宋简体"/>
          <w:color w:val="auto"/>
        </w:rPr>
        <w:t>号）相关规定严肃处理，构成犯罪的，依法追究刑事责任。</w:t>
      </w:r>
    </w:p>
    <w:p>
      <w:pPr>
        <w:keepNext w:val="0"/>
        <w:keepLines w:val="0"/>
        <w:pageBreakBefore w:val="0"/>
        <w:widowControl w:val="0"/>
        <w:kinsoku/>
        <w:wordWrap/>
        <w:overflowPunct/>
        <w:topLinePunct w:val="0"/>
        <w:autoSpaceDE/>
        <w:autoSpaceDN/>
        <w:bidi w:val="0"/>
        <w:adjustRightInd/>
        <w:snapToGrid/>
        <w:spacing w:line="572" w:lineRule="atLeast"/>
        <w:ind w:left="0"/>
        <w:textAlignment w:val="auto"/>
        <w:rPr>
          <w:rFonts w:ascii="宋体" w:hAnsi="宋体" w:eastAsia="方正仿宋简体"/>
          <w:color w:val="auto"/>
        </w:rPr>
      </w:pPr>
      <w:r>
        <w:rPr>
          <w:rFonts w:hint="eastAsia" w:ascii="宋体" w:hAnsi="宋体" w:eastAsia="方正黑体简体"/>
          <w:color w:val="auto"/>
        </w:rPr>
        <w:t>第</w:t>
      </w:r>
      <w:r>
        <w:rPr>
          <w:rFonts w:hint="eastAsia" w:ascii="宋体" w:hAnsi="宋体" w:eastAsia="方正黑体简体"/>
          <w:color w:val="auto"/>
          <w:lang w:val="en-US" w:eastAsia="zh-CN"/>
        </w:rPr>
        <w:t>二十</w:t>
      </w:r>
      <w:r>
        <w:rPr>
          <w:rFonts w:hint="eastAsia" w:ascii="宋体" w:hAnsi="宋体" w:eastAsia="方正黑体简体"/>
          <w:color w:val="auto"/>
        </w:rPr>
        <w:t xml:space="preserve">条 </w:t>
      </w:r>
      <w:r>
        <w:rPr>
          <w:rFonts w:ascii="宋体" w:hAnsi="宋体" w:eastAsia="方正黑体简体"/>
          <w:color w:val="auto"/>
        </w:rPr>
        <w:t xml:space="preserve"> </w:t>
      </w:r>
      <w:r>
        <w:rPr>
          <w:rFonts w:hint="eastAsia" w:ascii="宋体" w:hAnsi="宋体" w:eastAsia="方正仿宋简体"/>
          <w:color w:val="auto"/>
        </w:rPr>
        <w:t>财政、商务、扶贫等相关部门及工作人员在专项资金项目审核、资金分配等工作中，存在违规操作，滥用职权、玩忽职守、徇私舞弊等违法违纪行为的，按照《预算法》、《公务员法》、《行政监察法》、《财政违法行为处罚处分条例》等有关规定追究相应责任；涉嫌犯罪的，移送司法机关处理。</w:t>
      </w:r>
    </w:p>
    <w:p>
      <w:pPr>
        <w:keepNext w:val="0"/>
        <w:keepLines w:val="0"/>
        <w:pageBreakBefore w:val="0"/>
        <w:widowControl w:val="0"/>
        <w:kinsoku/>
        <w:wordWrap/>
        <w:overflowPunct/>
        <w:topLinePunct w:val="0"/>
        <w:autoSpaceDE/>
        <w:autoSpaceDN/>
        <w:bidi w:val="0"/>
        <w:adjustRightInd/>
        <w:snapToGrid/>
        <w:spacing w:line="572" w:lineRule="atLeast"/>
        <w:ind w:left="0" w:firstLine="0" w:firstLineChars="0"/>
        <w:jc w:val="center"/>
        <w:textAlignment w:val="auto"/>
        <w:rPr>
          <w:rFonts w:ascii="宋体" w:hAnsi="宋体" w:eastAsia="方正黑体简体"/>
          <w:color w:val="auto"/>
        </w:rPr>
      </w:pPr>
      <w:r>
        <w:rPr>
          <w:rFonts w:hint="eastAsia" w:ascii="宋体" w:hAnsi="宋体" w:eastAsia="方正黑体简体"/>
          <w:color w:val="auto"/>
        </w:rPr>
        <w:t>第六章</w:t>
      </w:r>
      <w:r>
        <w:rPr>
          <w:rFonts w:ascii="宋体" w:hAnsi="宋体" w:eastAsia="方正黑体简体"/>
          <w:color w:val="auto"/>
        </w:rPr>
        <w:t xml:space="preserve"> </w:t>
      </w:r>
      <w:r>
        <w:rPr>
          <w:rFonts w:hint="eastAsia" w:ascii="宋体" w:hAnsi="宋体" w:eastAsia="方正黑体简体"/>
          <w:color w:val="auto"/>
        </w:rPr>
        <w:t>附则</w:t>
      </w:r>
    </w:p>
    <w:p>
      <w:pPr>
        <w:keepNext w:val="0"/>
        <w:keepLines w:val="0"/>
        <w:pageBreakBefore w:val="0"/>
        <w:widowControl w:val="0"/>
        <w:kinsoku/>
        <w:wordWrap/>
        <w:overflowPunct/>
        <w:topLinePunct w:val="0"/>
        <w:autoSpaceDE/>
        <w:autoSpaceDN/>
        <w:bidi w:val="0"/>
        <w:adjustRightInd/>
        <w:snapToGrid/>
        <w:spacing w:line="572" w:lineRule="atLeast"/>
        <w:ind w:left="0"/>
        <w:textAlignment w:val="auto"/>
        <w:rPr>
          <w:rFonts w:ascii="宋体" w:hAnsi="宋体" w:eastAsia="方正黑体简体"/>
          <w:color w:val="auto"/>
        </w:rPr>
      </w:pPr>
      <w:r>
        <w:rPr>
          <w:rFonts w:hint="eastAsia" w:ascii="宋体" w:hAnsi="宋体" w:eastAsia="方正黑体简体"/>
          <w:color w:val="auto"/>
        </w:rPr>
        <w:t>第二十</w:t>
      </w:r>
      <w:r>
        <w:rPr>
          <w:rFonts w:hint="eastAsia" w:ascii="宋体" w:hAnsi="宋体" w:eastAsia="方正黑体简体"/>
          <w:color w:val="auto"/>
          <w:lang w:val="en-US" w:eastAsia="zh-CN"/>
        </w:rPr>
        <w:t>一</w:t>
      </w:r>
      <w:r>
        <w:rPr>
          <w:rFonts w:hint="eastAsia" w:ascii="宋体" w:hAnsi="宋体" w:eastAsia="方正黑体简体"/>
          <w:color w:val="auto"/>
        </w:rPr>
        <w:t>条</w:t>
      </w:r>
      <w:r>
        <w:rPr>
          <w:rFonts w:ascii="宋体" w:hAnsi="宋体" w:eastAsia="方正黑体简体"/>
          <w:color w:val="auto"/>
        </w:rPr>
        <w:t xml:space="preserve"> </w:t>
      </w:r>
      <w:r>
        <w:rPr>
          <w:rFonts w:hint="eastAsia" w:ascii="宋体" w:hAnsi="宋体" w:eastAsia="方正仿宋简体"/>
          <w:color w:val="auto"/>
          <w:lang w:val="en-US" w:eastAsia="zh-CN"/>
        </w:rPr>
        <w:t>示范</w:t>
      </w:r>
      <w:r>
        <w:rPr>
          <w:rFonts w:ascii="宋体" w:hAnsi="宋体" w:eastAsia="方正仿宋简体"/>
          <w:color w:val="auto"/>
        </w:rPr>
        <w:t>县结合本地实施，制定项目和资金管理办法。</w:t>
      </w:r>
    </w:p>
    <w:p>
      <w:pPr>
        <w:keepNext w:val="0"/>
        <w:keepLines w:val="0"/>
        <w:pageBreakBefore w:val="0"/>
        <w:widowControl w:val="0"/>
        <w:kinsoku/>
        <w:wordWrap/>
        <w:overflowPunct/>
        <w:topLinePunct w:val="0"/>
        <w:autoSpaceDE/>
        <w:autoSpaceDN/>
        <w:bidi w:val="0"/>
        <w:adjustRightInd/>
        <w:snapToGrid/>
        <w:spacing w:line="572" w:lineRule="atLeast"/>
        <w:ind w:left="0"/>
        <w:textAlignment w:val="auto"/>
        <w:rPr>
          <w:rFonts w:hint="eastAsia" w:ascii="宋体" w:hAnsi="宋体" w:eastAsia="方正仿宋简体"/>
          <w:color w:val="auto"/>
        </w:rPr>
      </w:pPr>
      <w:r>
        <w:rPr>
          <w:rFonts w:hint="eastAsia" w:ascii="宋体" w:hAnsi="宋体" w:eastAsia="方正黑体简体"/>
          <w:color w:val="auto"/>
        </w:rPr>
        <w:t>第二十</w:t>
      </w:r>
      <w:r>
        <w:rPr>
          <w:rFonts w:hint="eastAsia" w:ascii="宋体" w:hAnsi="宋体" w:eastAsia="方正黑体简体"/>
          <w:color w:val="auto"/>
          <w:lang w:val="en-US" w:eastAsia="zh-CN"/>
        </w:rPr>
        <w:t>二</w:t>
      </w:r>
      <w:r>
        <w:rPr>
          <w:rFonts w:hint="eastAsia" w:ascii="宋体" w:hAnsi="宋体" w:eastAsia="方正黑体简体"/>
          <w:color w:val="auto"/>
        </w:rPr>
        <w:t>条</w:t>
      </w:r>
      <w:r>
        <w:rPr>
          <w:rFonts w:hint="eastAsia" w:ascii="宋体" w:hAnsi="宋体" w:eastAsia="方正仿宋简体"/>
          <w:color w:val="auto"/>
        </w:rPr>
        <w:t xml:space="preserve"> 本办法自发文之日起执行。</w:t>
      </w:r>
    </w:p>
    <w:p>
      <w:pPr>
        <w:keepNext w:val="0"/>
        <w:keepLines w:val="0"/>
        <w:pageBreakBefore w:val="0"/>
        <w:widowControl w:val="0"/>
        <w:kinsoku/>
        <w:wordWrap/>
        <w:overflowPunct/>
        <w:topLinePunct w:val="0"/>
        <w:autoSpaceDE/>
        <w:autoSpaceDN/>
        <w:bidi w:val="0"/>
        <w:adjustRightInd/>
        <w:snapToGrid/>
        <w:spacing w:line="572" w:lineRule="atLeast"/>
        <w:ind w:left="0"/>
        <w:textAlignment w:val="auto"/>
        <w:rPr>
          <w:rFonts w:ascii="宋体" w:hAnsi="宋体"/>
          <w:color w:val="auto"/>
        </w:rPr>
      </w:pPr>
      <w:r>
        <w:rPr>
          <w:rFonts w:hint="eastAsia" w:ascii="宋体" w:hAnsi="宋体" w:eastAsia="方正黑体简体"/>
          <w:color w:val="auto"/>
        </w:rPr>
        <w:t>第二十</w:t>
      </w:r>
      <w:r>
        <w:rPr>
          <w:rFonts w:hint="eastAsia" w:ascii="宋体" w:hAnsi="宋体" w:eastAsia="方正黑体简体"/>
          <w:color w:val="auto"/>
          <w:lang w:val="en-US" w:eastAsia="zh-CN"/>
        </w:rPr>
        <w:t>三</w:t>
      </w:r>
      <w:r>
        <w:rPr>
          <w:rFonts w:hint="eastAsia" w:ascii="宋体" w:hAnsi="宋体" w:eastAsia="方正黑体简体"/>
          <w:color w:val="auto"/>
        </w:rPr>
        <w:t xml:space="preserve">条 </w:t>
      </w:r>
      <w:r>
        <w:rPr>
          <w:rFonts w:hint="eastAsia" w:ascii="宋体" w:hAnsi="宋体" w:eastAsia="方正仿宋简体"/>
          <w:color w:val="auto"/>
        </w:rPr>
        <w:t>本办法由州商务局、州财政局和州扶贫办负责解释。</w:t>
      </w:r>
    </w:p>
    <w:p>
      <w:pPr>
        <w:keepNext w:val="0"/>
        <w:keepLines w:val="0"/>
        <w:pageBreakBefore w:val="0"/>
        <w:widowControl w:val="0"/>
        <w:kinsoku/>
        <w:wordWrap/>
        <w:overflowPunct/>
        <w:topLinePunct w:val="0"/>
        <w:autoSpaceDE/>
        <w:autoSpaceDN/>
        <w:bidi w:val="0"/>
        <w:adjustRightInd/>
        <w:snapToGrid/>
        <w:spacing w:line="572" w:lineRule="atLeast"/>
        <w:ind w:left="0"/>
        <w:textAlignment w:val="auto"/>
        <w:rPr>
          <w:rFonts w:ascii="宋体" w:hAnsi="宋体"/>
        </w:rPr>
      </w:pPr>
    </w:p>
    <w:sectPr>
      <w:headerReference r:id="rId5" w:type="first"/>
      <w:footerReference r:id="rId8" w:type="first"/>
      <w:headerReference r:id="rId3" w:type="default"/>
      <w:footerReference r:id="rId6" w:type="default"/>
      <w:headerReference r:id="rId4" w:type="even"/>
      <w:footerReference r:id="rId7" w:type="even"/>
      <w:pgSz w:w="11907" w:h="16840"/>
      <w:pgMar w:top="2098" w:right="1474" w:bottom="1984" w:left="1587" w:header="851" w:footer="737" w:gutter="0"/>
      <w:cols w:space="720" w:num="1"/>
      <w:docGrid w:linePitch="579" w:charSpace="8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478" w:h="625" w:hRule="exact" w:wrap="around" w:vAnchor="text" w:hAnchor="page" w:x="8979" w:y="-57"/>
      <w:wordWrap w:val="0"/>
      <w:ind w:firstLine="480"/>
      <w:jc w:val="right"/>
      <w:rPr>
        <w:rStyle w:val="11"/>
        <w:sz w:val="24"/>
        <w:szCs w:val="24"/>
      </w:rPr>
    </w:pPr>
    <w:r>
      <w:rPr>
        <w:rStyle w:val="11"/>
        <w:sz w:val="24"/>
        <w:szCs w:val="24"/>
      </w:rPr>
      <w:t>—</w:t>
    </w:r>
    <w:r>
      <w:rPr>
        <w:rStyle w:val="11"/>
        <w:sz w:val="24"/>
        <w:szCs w:val="24"/>
      </w:rPr>
      <w:fldChar w:fldCharType="begin"/>
    </w:r>
    <w:r>
      <w:rPr>
        <w:rStyle w:val="11"/>
        <w:sz w:val="24"/>
        <w:szCs w:val="24"/>
      </w:rPr>
      <w:instrText xml:space="preserve">PAGE  </w:instrText>
    </w:r>
    <w:r>
      <w:rPr>
        <w:rStyle w:val="11"/>
        <w:sz w:val="24"/>
        <w:szCs w:val="24"/>
      </w:rPr>
      <w:fldChar w:fldCharType="separate"/>
    </w:r>
    <w:r>
      <w:rPr>
        <w:rStyle w:val="11"/>
        <w:sz w:val="24"/>
        <w:szCs w:val="24"/>
      </w:rPr>
      <w:t>19</w:t>
    </w:r>
    <w:r>
      <w:rPr>
        <w:rStyle w:val="11"/>
        <w:sz w:val="24"/>
        <w:szCs w:val="24"/>
      </w:rPr>
      <w:fldChar w:fldCharType="end"/>
    </w:r>
    <w:r>
      <w:rPr>
        <w:rStyle w:val="11"/>
        <w:sz w:val="24"/>
        <w:szCs w:val="24"/>
      </w:rPr>
      <w:t xml:space="preserve">—  </w:t>
    </w:r>
  </w:p>
  <w:p>
    <w:pPr>
      <w:pStyle w:val="4"/>
      <w:ind w:right="360" w:firstLine="360"/>
      <w:rPr>
        <w:rFonts w:ascii="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ind w:firstLine="360"/>
      <w:rPr>
        <w:rStyle w:val="11"/>
      </w:rPr>
    </w:pPr>
    <w:r>
      <w:rPr>
        <w:rStyle w:val="11"/>
      </w:rPr>
      <w:fldChar w:fldCharType="begin"/>
    </w:r>
    <w:r>
      <w:rPr>
        <w:rStyle w:val="11"/>
      </w:rPr>
      <w:instrText xml:space="preserve">PAGE  </w:instrText>
    </w:r>
    <w:r>
      <w:rPr>
        <w:rStyle w:val="11"/>
      </w:rPr>
      <w:fldChar w:fldCharType="end"/>
    </w:r>
  </w:p>
  <w:p>
    <w:pPr>
      <w:pStyle w:val="4"/>
      <w:ind w:right="360" w:firstLine="360"/>
    </w:pPr>
    <w:r>
      <w:rPr>
        <w:rFonts w:ascii="仿宋_GB2312"/>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06503"/>
    <w:multiLevelType w:val="multilevel"/>
    <w:tmpl w:val="3ED06503"/>
    <w:lvl w:ilvl="0" w:tentative="0">
      <w:start w:val="1"/>
      <w:numFmt w:val="japaneseCounting"/>
      <w:lvlText w:val="第%1章"/>
      <w:lvlJc w:val="left"/>
      <w:pPr>
        <w:ind w:left="1080" w:hanging="10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3B2D"/>
    <w:rsid w:val="00073EA0"/>
    <w:rsid w:val="0008678A"/>
    <w:rsid w:val="000B4F5E"/>
    <w:rsid w:val="0012372B"/>
    <w:rsid w:val="00183B2D"/>
    <w:rsid w:val="001B7D53"/>
    <w:rsid w:val="00205CD6"/>
    <w:rsid w:val="00241510"/>
    <w:rsid w:val="00257B6B"/>
    <w:rsid w:val="0030310F"/>
    <w:rsid w:val="00351651"/>
    <w:rsid w:val="00380689"/>
    <w:rsid w:val="00385557"/>
    <w:rsid w:val="00475645"/>
    <w:rsid w:val="004A314D"/>
    <w:rsid w:val="004A5AE9"/>
    <w:rsid w:val="004B64DC"/>
    <w:rsid w:val="00570650"/>
    <w:rsid w:val="00582A7B"/>
    <w:rsid w:val="00591635"/>
    <w:rsid w:val="0061469C"/>
    <w:rsid w:val="006152B0"/>
    <w:rsid w:val="00636F7D"/>
    <w:rsid w:val="006412B0"/>
    <w:rsid w:val="00656E94"/>
    <w:rsid w:val="006D32C5"/>
    <w:rsid w:val="006D5DB6"/>
    <w:rsid w:val="00765FB9"/>
    <w:rsid w:val="00846E80"/>
    <w:rsid w:val="008944A6"/>
    <w:rsid w:val="008F544B"/>
    <w:rsid w:val="00AA61A1"/>
    <w:rsid w:val="00AF2247"/>
    <w:rsid w:val="00B250EC"/>
    <w:rsid w:val="00B667A1"/>
    <w:rsid w:val="00B75FC7"/>
    <w:rsid w:val="00C0045C"/>
    <w:rsid w:val="00C042D4"/>
    <w:rsid w:val="00C13CB3"/>
    <w:rsid w:val="00C14E0B"/>
    <w:rsid w:val="00C2235F"/>
    <w:rsid w:val="00C52BBA"/>
    <w:rsid w:val="00CC6C24"/>
    <w:rsid w:val="00D23EAB"/>
    <w:rsid w:val="00D334EE"/>
    <w:rsid w:val="00D33BF4"/>
    <w:rsid w:val="00D40592"/>
    <w:rsid w:val="00D46DA5"/>
    <w:rsid w:val="00D54627"/>
    <w:rsid w:val="00DC0D87"/>
    <w:rsid w:val="00E21FEF"/>
    <w:rsid w:val="00E30FC9"/>
    <w:rsid w:val="00EC4214"/>
    <w:rsid w:val="00F30A28"/>
    <w:rsid w:val="01573FAE"/>
    <w:rsid w:val="03B92B0B"/>
    <w:rsid w:val="04F21C87"/>
    <w:rsid w:val="04F85125"/>
    <w:rsid w:val="0B8D421C"/>
    <w:rsid w:val="0BAE4C3B"/>
    <w:rsid w:val="0D934664"/>
    <w:rsid w:val="106007F0"/>
    <w:rsid w:val="11023EB8"/>
    <w:rsid w:val="127530D6"/>
    <w:rsid w:val="17B97782"/>
    <w:rsid w:val="184B630B"/>
    <w:rsid w:val="18DF525F"/>
    <w:rsid w:val="21484C5C"/>
    <w:rsid w:val="226016D8"/>
    <w:rsid w:val="26054C93"/>
    <w:rsid w:val="269D3265"/>
    <w:rsid w:val="2D510146"/>
    <w:rsid w:val="2D6E31CE"/>
    <w:rsid w:val="30AF4746"/>
    <w:rsid w:val="31592BFE"/>
    <w:rsid w:val="34246268"/>
    <w:rsid w:val="36D50A73"/>
    <w:rsid w:val="370B78A0"/>
    <w:rsid w:val="39487CD6"/>
    <w:rsid w:val="396105D5"/>
    <w:rsid w:val="3B0B0E70"/>
    <w:rsid w:val="3EB92282"/>
    <w:rsid w:val="3F8D0797"/>
    <w:rsid w:val="40A65A12"/>
    <w:rsid w:val="43325613"/>
    <w:rsid w:val="44084E66"/>
    <w:rsid w:val="45BF46BC"/>
    <w:rsid w:val="47484A85"/>
    <w:rsid w:val="49B40116"/>
    <w:rsid w:val="4A2E3DEE"/>
    <w:rsid w:val="4A9B5046"/>
    <w:rsid w:val="4AEC3690"/>
    <w:rsid w:val="4B9459B5"/>
    <w:rsid w:val="4DC65281"/>
    <w:rsid w:val="4E652331"/>
    <w:rsid w:val="51873933"/>
    <w:rsid w:val="51D93577"/>
    <w:rsid w:val="520F4EA8"/>
    <w:rsid w:val="52C95806"/>
    <w:rsid w:val="55B901DA"/>
    <w:rsid w:val="562451E2"/>
    <w:rsid w:val="571B4029"/>
    <w:rsid w:val="596041C0"/>
    <w:rsid w:val="5B7A46B1"/>
    <w:rsid w:val="5C7D038B"/>
    <w:rsid w:val="5D7F3F45"/>
    <w:rsid w:val="60934F0B"/>
    <w:rsid w:val="6123106C"/>
    <w:rsid w:val="62AE3BE0"/>
    <w:rsid w:val="63F10D37"/>
    <w:rsid w:val="65A05483"/>
    <w:rsid w:val="66395E4F"/>
    <w:rsid w:val="6649180A"/>
    <w:rsid w:val="66985AE7"/>
    <w:rsid w:val="6B0F4F95"/>
    <w:rsid w:val="6B116F85"/>
    <w:rsid w:val="6C2B3B72"/>
    <w:rsid w:val="6CD576E9"/>
    <w:rsid w:val="6E36267E"/>
    <w:rsid w:val="6FEF060B"/>
    <w:rsid w:val="72AB1E36"/>
    <w:rsid w:val="73ED6580"/>
    <w:rsid w:val="75A9747F"/>
    <w:rsid w:val="76A53FE0"/>
    <w:rsid w:val="771C6D24"/>
    <w:rsid w:val="7A5A0201"/>
    <w:rsid w:val="7BCB7F77"/>
    <w:rsid w:val="7C771553"/>
    <w:rsid w:val="7DAD5D18"/>
    <w:rsid w:val="7E481868"/>
    <w:rsid w:val="7E9B4094"/>
    <w:rsid w:val="7FE55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700" w:lineRule="exact"/>
      <w:ind w:firstLine="640" w:firstLineChars="200"/>
      <w:jc w:val="both"/>
    </w:pPr>
    <w:rPr>
      <w:rFonts w:ascii="Times New Roman" w:hAnsi="Times New Roman" w:eastAsia="仿宋_GB2312" w:cs="Times New Roman"/>
      <w:kern w:val="2"/>
      <w:sz w:val="32"/>
      <w:szCs w:val="22"/>
      <w:lang w:val="en-US" w:eastAsia="zh-CN" w:bidi="ar-SA"/>
    </w:rPr>
  </w:style>
  <w:style w:type="paragraph" w:styleId="3">
    <w:name w:val="heading 2"/>
    <w:basedOn w:val="1"/>
    <w:next w:val="1"/>
    <w:unhideWhenUsed/>
    <w:qFormat/>
    <w:uiPriority w:val="0"/>
    <w:pPr>
      <w:keepNext/>
      <w:keepLines/>
      <w:widowControl w:val="0"/>
      <w:spacing w:line="360" w:lineRule="auto"/>
      <w:jc w:val="both"/>
      <w:outlineLvl w:val="1"/>
    </w:pPr>
    <w:rPr>
      <w:rFonts w:ascii="Times New Roman" w:hAnsi="Times New Roman" w:eastAsia="宋体" w:cs="Arial"/>
      <w:b/>
      <w:bCs/>
      <w:kern w:val="2"/>
      <w:sz w:val="30"/>
      <w:szCs w:val="30"/>
      <w:lang w:val="en-GB"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Title"/>
    <w:basedOn w:val="1"/>
    <w:next w:val="1"/>
    <w:link w:val="14"/>
    <w:qFormat/>
    <w:uiPriority w:val="99"/>
    <w:pPr>
      <w:ind w:firstLine="0" w:firstLineChars="0"/>
      <w:jc w:val="center"/>
      <w:outlineLvl w:val="0"/>
    </w:pPr>
    <w:rPr>
      <w:rFonts w:eastAsia="方正小标宋简体"/>
      <w:bCs/>
      <w:kern w:val="0"/>
      <w:sz w:val="44"/>
      <w:szCs w:val="32"/>
    </w:rPr>
  </w:style>
  <w:style w:type="character" w:styleId="10">
    <w:name w:val="Strong"/>
    <w:basedOn w:val="9"/>
    <w:qFormat/>
    <w:uiPriority w:val="0"/>
    <w:rPr>
      <w:b/>
    </w:rPr>
  </w:style>
  <w:style w:type="character" w:styleId="11">
    <w:name w:val="page number"/>
    <w:basedOn w:val="9"/>
    <w:qFormat/>
    <w:uiPriority w:val="99"/>
    <w:rPr>
      <w:rFonts w:cs="Times New Roman"/>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标题 Char"/>
    <w:basedOn w:val="9"/>
    <w:link w:val="7"/>
    <w:qFormat/>
    <w:uiPriority w:val="99"/>
    <w:rPr>
      <w:rFonts w:ascii="Times New Roman" w:hAnsi="Times New Roman" w:eastAsia="方正小标宋简体" w:cs="Times New Roman"/>
      <w:bCs/>
      <w:kern w:val="0"/>
      <w:sz w:val="44"/>
      <w:szCs w:val="32"/>
    </w:rPr>
  </w:style>
  <w:style w:type="paragraph" w:styleId="15">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C8CD97-699C-4F62-97ED-4521A4898567}">
  <ds:schemaRefs/>
</ds:datastoreItem>
</file>

<file path=docProps/app.xml><?xml version="1.0" encoding="utf-8"?>
<Properties xmlns="http://schemas.openxmlformats.org/officeDocument/2006/extended-properties" xmlns:vt="http://schemas.openxmlformats.org/officeDocument/2006/docPropsVTypes">
  <Template>Normal</Template>
  <Pages>19</Pages>
  <Words>1548</Words>
  <Characters>8824</Characters>
  <Lines>73</Lines>
  <Paragraphs>20</Paragraphs>
  <TotalTime>1</TotalTime>
  <ScaleCrop>false</ScaleCrop>
  <LinksUpToDate>false</LinksUpToDate>
  <CharactersWithSpaces>10352</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2019-12-15T09:04:00Z</dcterms:created>
  <dc:creator>DELL</dc:creator>
  <cp:lastModifiedBy>DELL</cp:lastModifiedBy>
  <cp:lastPrinted>2020-12-08T02:43:00Z</cp:lastPrinted>
  <dcterms:modified xsi:type="dcterms:W3CDTF">2020-12-30T02:29:45Z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